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p>
      <w:pPr>
        <w:tabs>
          <w:tab w:val="center" w:pos="4153"/>
          <w:tab w:val="right" w:pos="8306"/>
        </w:tabs>
        <w:rPr>
          <w:lang w:val="en-GB"/>
        </w:rPr>
      </w:pPr>
    </w:p>
    <w:p>
      <w:pPr>
        <w:tabs>
          <w:tab w:val="center" w:pos="4153"/>
          <w:tab w:val="right" w:pos="8306"/>
        </w:tabs>
        <w:ind w:left="7920"/>
        <w:rPr>
          <w:b/>
        </w:rPr>
      </w:pPr>
      <w:r>
        <w:rPr>
          <w:b/>
        </w:rPr>
        <w:t xml:space="preserve">Projektas </w:t>
      </w:r>
    </w:p>
    <w:p>
      <w:pPr>
        <w:rPr>
          <w:sz w:val="22"/>
        </w:rPr>
      </w:pPr>
    </w:p>
    <w:p>
      <w:pPr>
        <w:tabs>
          <w:tab w:val="left" w:pos="1134"/>
          <w:tab w:val="left" w:pos="1276"/>
          <w:tab w:val="left" w:pos="1418"/>
          <w:tab w:val="left" w:pos="1560"/>
          <w:tab w:val="left" w:pos="1701"/>
          <w:tab w:val="left" w:pos="1843"/>
          <w:tab w:val="left" w:pos="1985"/>
        </w:tabs>
        <w:jc w:val="center"/>
        <w:rPr>
          <w:b/>
          <w:szCs w:val="24"/>
        </w:rPr>
      </w:pPr>
      <w:r>
        <w:rPr>
          <w:b/>
          <w:szCs w:val="24"/>
        </w:rPr>
        <w:t>LIETUVOS RESPUBLIKOS</w:t>
      </w:r>
    </w:p>
    <w:p>
      <w:pPr>
        <w:tabs>
          <w:tab w:val="left" w:pos="1134"/>
          <w:tab w:val="left" w:pos="1276"/>
          <w:tab w:val="left" w:pos="1418"/>
          <w:tab w:val="left" w:pos="1560"/>
          <w:tab w:val="left" w:pos="1701"/>
          <w:tab w:val="left" w:pos="1843"/>
          <w:tab w:val="left" w:pos="1985"/>
        </w:tabs>
        <w:jc w:val="center"/>
        <w:rPr>
          <w:b/>
          <w:szCs w:val="24"/>
        </w:rPr>
      </w:pPr>
      <w:r>
        <w:rPr>
          <w:b/>
          <w:szCs w:val="24"/>
        </w:rPr>
        <w:t>SOCIALINĖS APSAUGOS IR DARBO MINISTRAS</w:t>
      </w:r>
    </w:p>
    <w:p>
      <w:pPr>
        <w:tabs>
          <w:tab w:val="left" w:pos="1134"/>
          <w:tab w:val="left" w:pos="1276"/>
          <w:tab w:val="left" w:pos="1418"/>
          <w:tab w:val="left" w:pos="1560"/>
          <w:tab w:val="left" w:pos="1701"/>
          <w:tab w:val="left" w:pos="1843"/>
          <w:tab w:val="left" w:pos="1985"/>
        </w:tabs>
        <w:jc w:val="center"/>
        <w:rPr>
          <w:b/>
          <w:szCs w:val="24"/>
        </w:rPr>
      </w:pPr>
    </w:p>
    <w:p>
      <w:pPr>
        <w:tabs>
          <w:tab w:val="left" w:pos="1134"/>
          <w:tab w:val="left" w:pos="1276"/>
          <w:tab w:val="left" w:pos="1418"/>
          <w:tab w:val="left" w:pos="1560"/>
          <w:tab w:val="left" w:pos="1701"/>
          <w:tab w:val="left" w:pos="1843"/>
          <w:tab w:val="left" w:pos="1985"/>
        </w:tabs>
        <w:jc w:val="center"/>
        <w:rPr>
          <w:b/>
          <w:szCs w:val="24"/>
        </w:rPr>
      </w:pPr>
      <w:r>
        <w:rPr>
          <w:b/>
          <w:szCs w:val="24"/>
        </w:rPr>
        <w:t>ĮSAKYMAS</w:t>
      </w:r>
    </w:p>
    <w:p>
      <w:pPr>
        <w:tabs>
          <w:tab w:val="left" w:pos="1134"/>
          <w:tab w:val="left" w:pos="1276"/>
          <w:tab w:val="left" w:pos="1418"/>
          <w:tab w:val="left" w:pos="1560"/>
          <w:tab w:val="left" w:pos="1701"/>
          <w:tab w:val="left" w:pos="1843"/>
          <w:tab w:val="left" w:pos="1985"/>
        </w:tabs>
        <w:jc w:val="center"/>
        <w:rPr>
          <w:b/>
        </w:rPr>
      </w:pPr>
      <w:r>
        <w:rPr>
          <w:b/>
        </w:rPr>
        <w:t xml:space="preserve">DĖL </w:t>
      </w:r>
      <w:r>
        <w:rPr>
          <w:b/>
          <w:szCs w:val="24"/>
        </w:rPr>
        <w:t xml:space="preserve">LIETUVOS RESPUBLIKOS SOCIALINĖS APSAUGOS IR DARBO MINISTRO 2006 M. GEGUŽĖS 11 D. ĮSAKYMO NR. A1-147 „DĖL </w:t>
      </w:r>
      <w:r>
        <w:rPr>
          <w:b/>
        </w:rPr>
        <w:t xml:space="preserve">ESKALATORIŲ IR JUDAMŲJŲ TAKŲ NAUDOJIMO </w:t>
      </w:r>
      <w:r>
        <w:rPr>
          <w:b/>
          <w:bCs/>
          <w:caps/>
          <w:color w:val="000000"/>
        </w:rPr>
        <w:t>TAISYKLIŲ PATVIRTINIMO</w:t>
      </w:r>
      <w:r>
        <w:rPr>
          <w:b/>
          <w:szCs w:val="24"/>
        </w:rPr>
        <w:t xml:space="preserve">“ PAKEITIMO </w:t>
      </w:r>
    </w:p>
    <w:p>
      <w:pPr>
        <w:tabs>
          <w:tab w:val="left" w:pos="1134"/>
          <w:tab w:val="left" w:pos="1276"/>
          <w:tab w:val="left" w:pos="1418"/>
          <w:tab w:val="left" w:pos="1560"/>
          <w:tab w:val="left" w:pos="1701"/>
          <w:tab w:val="left" w:pos="1843"/>
          <w:tab w:val="left" w:pos="1985"/>
        </w:tabs>
        <w:jc w:val="center"/>
        <w:rPr>
          <w:szCs w:val="24"/>
        </w:rPr>
      </w:pPr>
    </w:p>
    <w:p>
      <w:pPr>
        <w:widowControl w:val="0"/>
        <w:tabs>
          <w:tab w:val="left" w:pos="1134"/>
          <w:tab w:val="left" w:pos="1276"/>
          <w:tab w:val="left" w:pos="1418"/>
          <w:tab w:val="left" w:pos="1560"/>
          <w:tab w:val="left" w:pos="1701"/>
          <w:tab w:val="left" w:pos="1843"/>
          <w:tab w:val="left" w:pos="1985"/>
        </w:tabs>
        <w:suppressAutoHyphens/>
        <w:jc w:val="center"/>
        <w:rPr>
          <w:color w:val="000000"/>
        </w:rPr>
      </w:pPr>
    </w:p>
    <w:p>
      <w:pPr>
        <w:widowControl w:val="0"/>
        <w:tabs>
          <w:tab w:val="left" w:pos="1134"/>
          <w:tab w:val="left" w:pos="1276"/>
          <w:tab w:val="left" w:pos="1418"/>
          <w:tab w:val="left" w:pos="1560"/>
          <w:tab w:val="left" w:pos="1701"/>
          <w:tab w:val="left" w:pos="1843"/>
          <w:tab w:val="left" w:pos="1985"/>
        </w:tabs>
        <w:suppressAutoHyphens/>
        <w:jc w:val="center"/>
      </w:pPr>
      <w:r>
        <w:t xml:space="preserve">2020 m.                          d. Nr. A1-</w:t>
      </w:r>
    </w:p>
    <w:p>
      <w:pPr>
        <w:widowControl w:val="0"/>
        <w:tabs>
          <w:tab w:val="left" w:pos="1134"/>
          <w:tab w:val="left" w:pos="1276"/>
          <w:tab w:val="left" w:pos="1418"/>
          <w:tab w:val="left" w:pos="1560"/>
          <w:tab w:val="left" w:pos="1701"/>
          <w:tab w:val="left" w:pos="1843"/>
          <w:tab w:val="left" w:pos="1985"/>
        </w:tabs>
        <w:suppressAutoHyphens/>
        <w:jc w:val="center"/>
        <w:rPr>
          <w:color w:val="000000"/>
        </w:rPr>
      </w:pPr>
      <w:r>
        <w:t>Vilnius</w:t>
      </w:r>
    </w:p>
    <w:p>
      <w:pPr>
        <w:tabs>
          <w:tab w:val="left" w:pos="1134"/>
          <w:tab w:val="left" w:pos="1276"/>
          <w:tab w:val="left" w:pos="1418"/>
          <w:tab w:val="left" w:pos="1560"/>
          <w:tab w:val="left" w:pos="1701"/>
          <w:tab w:val="left" w:pos="1843"/>
          <w:tab w:val="left" w:pos="1985"/>
        </w:tabs>
        <w:jc w:val="center"/>
        <w:rPr>
          <w:szCs w:val="24"/>
        </w:rPr>
      </w:pPr>
    </w:p>
    <w:p>
      <w:pPr>
        <w:tabs>
          <w:tab w:val="left" w:pos="1134"/>
          <w:tab w:val="left" w:pos="1276"/>
          <w:tab w:val="left" w:pos="1418"/>
          <w:tab w:val="left" w:pos="1560"/>
          <w:tab w:val="left" w:pos="1701"/>
          <w:tab w:val="left" w:pos="1843"/>
          <w:tab w:val="left" w:pos="1985"/>
        </w:tabs>
        <w:jc w:val="center"/>
        <w:rPr>
          <w:szCs w:val="24"/>
        </w:rPr>
      </w:pPr>
    </w:p>
    <w:p>
      <w:pPr>
        <w:tabs>
          <w:tab w:val="left" w:pos="1080"/>
        </w:tabs>
        <w:ind w:firstLine="810"/>
        <w:jc w:val="both"/>
      </w:pPr>
      <w:r>
        <w:t>1</w:t>
      </w:r>
      <w:r>
        <w:t>.</w:t>
        <w:tab/>
        <w:t>P a k e i č i u Lietuvos Respublikos socialinės apsaugos ir darbo ministro 2006 m. gegužės 11 d. įsakymą Nr. A1-147 „Dėl Eskalatorių ir judamųjų takų naudojimo taisyklių patvirtinimo“ ir jį išdėstau nauja redakcija:</w:t>
      </w:r>
    </w:p>
    <w:p>
      <w:pPr>
        <w:tabs>
          <w:tab w:val="left" w:pos="1080"/>
        </w:tabs>
        <w:ind w:firstLine="810"/>
        <w:jc w:val="center"/>
        <w:rPr>
          <w:b/>
        </w:rPr>
      </w:pPr>
      <w:r>
        <w:t>„</w:t>
      </w:r>
      <w:r>
        <w:rPr>
          <w:b/>
        </w:rPr>
        <w:t>LIETUVOS RESPUBLIKOS</w:t>
      </w:r>
    </w:p>
    <w:p>
      <w:pPr>
        <w:tabs>
          <w:tab w:val="left" w:pos="1080"/>
        </w:tabs>
        <w:ind w:firstLine="810"/>
        <w:jc w:val="center"/>
        <w:rPr>
          <w:b/>
        </w:rPr>
      </w:pPr>
      <w:r>
        <w:rPr>
          <w:b/>
        </w:rPr>
        <w:t>SOCIALINĖS APSAUGOS IR DARBO MINISTRAS</w:t>
      </w:r>
    </w:p>
    <w:p>
      <w:pPr>
        <w:tabs>
          <w:tab w:val="left" w:pos="1080"/>
        </w:tabs>
        <w:ind w:firstLine="810"/>
        <w:jc w:val="center"/>
        <w:rPr>
          <w:b/>
        </w:rPr>
      </w:pPr>
    </w:p>
    <w:p>
      <w:pPr>
        <w:tabs>
          <w:tab w:val="left" w:pos="1080"/>
        </w:tabs>
        <w:ind w:firstLine="810"/>
        <w:jc w:val="center"/>
        <w:rPr>
          <w:b/>
        </w:rPr>
      </w:pPr>
      <w:r>
        <w:rPr>
          <w:b/>
        </w:rPr>
        <w:t>ĮSAKYMAS</w:t>
      </w:r>
    </w:p>
    <w:p>
      <w:pPr>
        <w:tabs>
          <w:tab w:val="left" w:pos="1080"/>
          <w:tab w:val="left" w:pos="1134"/>
          <w:tab w:val="left" w:pos="1276"/>
          <w:tab w:val="left" w:pos="1418"/>
          <w:tab w:val="left" w:pos="1560"/>
          <w:tab w:val="left" w:pos="1701"/>
          <w:tab w:val="left" w:pos="1843"/>
          <w:tab w:val="left" w:pos="1985"/>
        </w:tabs>
        <w:ind w:firstLine="810"/>
        <w:jc w:val="center"/>
        <w:rPr>
          <w:b/>
          <w:bCs/>
          <w:caps/>
          <w:color w:val="000000"/>
        </w:rPr>
      </w:pPr>
      <w:r>
        <w:rPr>
          <w:b/>
          <w:szCs w:val="24"/>
        </w:rPr>
        <w:t xml:space="preserve">DĖL </w:t>
      </w:r>
      <w:r>
        <w:rPr>
          <w:b/>
        </w:rPr>
        <w:t xml:space="preserve">ESKALATORIŲ IR JUDAMŲJŲ TAKŲ PRIEŽIŪROS </w:t>
      </w:r>
      <w:r>
        <w:rPr>
          <w:b/>
          <w:bCs/>
          <w:caps/>
          <w:color w:val="000000"/>
        </w:rPr>
        <w:t>TAISYKLIŲ</w:t>
      </w:r>
    </w:p>
    <w:p>
      <w:pPr>
        <w:widowControl w:val="0"/>
        <w:tabs>
          <w:tab w:val="left" w:pos="1080"/>
          <w:tab w:val="left" w:pos="1134"/>
          <w:tab w:val="left" w:pos="1276"/>
          <w:tab w:val="left" w:pos="1418"/>
          <w:tab w:val="left" w:pos="1560"/>
          <w:tab w:val="left" w:pos="1701"/>
          <w:tab w:val="left" w:pos="1843"/>
          <w:tab w:val="left" w:pos="1985"/>
        </w:tabs>
        <w:suppressAutoHyphens/>
        <w:ind w:firstLine="810"/>
        <w:jc w:val="center"/>
        <w:rPr>
          <w:b/>
          <w:color w:val="000000"/>
        </w:rPr>
      </w:pPr>
      <w:r>
        <w:rPr>
          <w:b/>
          <w:bCs/>
          <w:caps/>
          <w:color w:val="000000"/>
        </w:rPr>
        <w:t>PATVIRTINIMO</w:t>
      </w:r>
    </w:p>
    <w:p>
      <w:pPr>
        <w:widowControl w:val="0"/>
        <w:tabs>
          <w:tab w:val="left" w:pos="1080"/>
          <w:tab w:val="left" w:pos="1134"/>
          <w:tab w:val="left" w:pos="1276"/>
          <w:tab w:val="left" w:pos="1418"/>
          <w:tab w:val="left" w:pos="1560"/>
          <w:tab w:val="left" w:pos="1701"/>
          <w:tab w:val="left" w:pos="1843"/>
          <w:tab w:val="left" w:pos="1985"/>
        </w:tabs>
        <w:suppressAutoHyphens/>
        <w:ind w:firstLine="810"/>
        <w:jc w:val="center"/>
        <w:rPr>
          <w:color w:val="000000"/>
        </w:rPr>
      </w:pPr>
    </w:p>
    <w:p>
      <w:pPr>
        <w:widowControl w:val="0"/>
        <w:tabs>
          <w:tab w:val="left" w:pos="1080"/>
          <w:tab w:val="left" w:pos="1134"/>
          <w:tab w:val="left" w:pos="1276"/>
          <w:tab w:val="left" w:pos="1418"/>
          <w:tab w:val="left" w:pos="1560"/>
          <w:tab w:val="left" w:pos="1701"/>
          <w:tab w:val="left" w:pos="1843"/>
          <w:tab w:val="left" w:pos="1985"/>
        </w:tabs>
        <w:suppressAutoHyphens/>
        <w:ind w:firstLine="810"/>
        <w:jc w:val="both"/>
        <w:rPr>
          <w:color w:val="000000"/>
        </w:rPr>
      </w:pPr>
      <w:r>
        <w:rPr>
          <w:color w:val="000000"/>
        </w:rPr>
        <w:t xml:space="preserve">Vadovaudamasis Lietuvos Respublikos potencialiai pavojingų įrenginių priežiūros įstatymo </w:t>
      </w:r>
      <w:r>
        <w:t>5 straipsnio 1 punktu ir Lietuvos Respublikos Vyriausybės 2001 m. birželio 29 d. nutarimo Nr. 817 „Dėl Lietuvos Respublikos potencialiai pavojingų įrenginių priežiūros įstatymo įgyvendinimo“ 2.1.3  </w:t>
      </w:r>
      <w:r>
        <w:rPr>
          <w:color w:val="000000"/>
        </w:rPr>
        <w:t xml:space="preserve">papunkčiu, </w:t>
      </w:r>
    </w:p>
    <w:p>
      <w:pPr>
        <w:widowControl w:val="0"/>
        <w:tabs>
          <w:tab w:val="left" w:pos="1080"/>
          <w:tab w:val="left" w:pos="1134"/>
          <w:tab w:val="left" w:pos="1276"/>
          <w:tab w:val="left" w:pos="1418"/>
          <w:tab w:val="left" w:pos="1560"/>
          <w:tab w:val="left" w:pos="1701"/>
          <w:tab w:val="left" w:pos="1843"/>
          <w:tab w:val="left" w:pos="1985"/>
        </w:tabs>
        <w:suppressAutoHyphens/>
        <w:ind w:firstLine="810"/>
        <w:jc w:val="both"/>
      </w:pPr>
      <w:r>
        <w:rPr>
          <w:color w:val="000000"/>
        </w:rPr>
        <w:t xml:space="preserve">t </w:t>
      </w:r>
      <w:r>
        <w:rPr>
          <w:color w:val="000000"/>
          <w:spacing w:val="60"/>
        </w:rPr>
        <w:t>virtinu</w:t>
      </w:r>
      <w:r>
        <w:rPr>
          <w:color w:val="000000"/>
        </w:rPr>
        <w:t xml:space="preserve"> </w:t>
      </w:r>
      <w:r>
        <w:t xml:space="preserve">Eskalatorių ir judamųjų takų priežiūros </w:t>
      </w:r>
      <w:r>
        <w:rPr>
          <w:color w:val="000000"/>
        </w:rPr>
        <w:t>taisykles (pridedama).“</w:t>
      </w:r>
      <w:r>
        <w:t xml:space="preserve"> </w:t>
      </w:r>
    </w:p>
    <w:p>
      <w:pPr>
        <w:widowControl w:val="0"/>
        <w:shd w:val="clear" w:color="auto" w:fill="FFFFFF"/>
        <w:tabs>
          <w:tab w:val="left" w:pos="1080"/>
        </w:tabs>
        <w:ind w:firstLine="810"/>
        <w:jc w:val="both"/>
      </w:pPr>
      <w:r>
        <w:t>2</w:t>
      </w:r>
      <w:r>
        <w:t>. Šis įsakymas įsigalioja 2020 m. gegužės 1 d.</w:t>
      </w:r>
    </w:p>
    <w:p>
      <w:pPr>
        <w:tabs>
          <w:tab w:val="right" w:pos="9639"/>
        </w:tabs>
        <w:ind w:firstLine="709"/>
      </w:pPr>
    </w:p>
    <w:p>
      <w:pPr>
        <w:tabs>
          <w:tab w:val="right" w:pos="9639"/>
        </w:tabs>
      </w:pPr>
    </w:p>
    <w:p>
      <w:pPr>
        <w:tabs>
          <w:tab w:val="right" w:pos="9639"/>
        </w:tabs>
      </w:pPr>
    </w:p>
    <w:p>
      <w:r>
        <w:t xml:space="preserve">Socialinės apsaugos ir darbo ministras </w:t>
        <w:br w:type="page"/>
      </w:r>
    </w:p>
    <w:p>
      <w:pPr>
        <w:ind w:left="5040"/>
        <w:sectPr>
          <w:headerReference w:type="even" r:id="rId7"/>
          <w:headerReference w:type="default" r:id="rId8"/>
          <w:footerReference w:type="even" r:id="rId9"/>
          <w:footerReference w:type="default" r:id="rId10"/>
          <w:headerReference w:type="first" r:id="rId11"/>
          <w:footerReference w:type="first" r:id="rId12"/>
          <w:pgSz w:w="11907" w:h="16839" w:code="9"/>
          <w:pgMar w:top="1699" w:right="562" w:bottom="1138" w:left="1699" w:header="706" w:footer="706" w:gutter="0"/>
          <w:cols w:space="708"/>
          <w:titlePg/>
          <w:docGrid w:linePitch="326"/>
        </w:sectPr>
      </w:pPr>
    </w:p>
    <w:p>
      <w:pPr>
        <w:tabs>
          <w:tab w:val="center" w:pos="4819"/>
          <w:tab w:val="right" w:pos="9638"/>
        </w:tabs>
      </w:pPr>
    </w:p>
    <w:p>
      <w:pPr>
        <w:ind w:left="5040"/>
      </w:pPr>
      <w:r>
        <w:t>PATVIRTINTA</w:t>
      </w:r>
    </w:p>
    <w:p>
      <w:pPr>
        <w:widowControl w:val="0"/>
        <w:shd w:val="clear" w:color="auto" w:fill="FFFFFF"/>
        <w:ind w:left="5040"/>
        <w:rPr>
          <w:szCs w:val="24"/>
        </w:rPr>
      </w:pPr>
      <w:r>
        <w:rPr>
          <w:szCs w:val="24"/>
        </w:rPr>
        <w:t xml:space="preserve">Lietuvos Respublikos socialinės apsaugos ir darbo ministro </w:t>
      </w:r>
    </w:p>
    <w:p>
      <w:pPr>
        <w:widowControl w:val="0"/>
        <w:shd w:val="clear" w:color="auto" w:fill="FFFFFF"/>
        <w:ind w:left="5040"/>
      </w:pPr>
      <w:r>
        <w:t>2006 m. gegužės 11 d. įsakymu Nr. A1-147</w:t>
      </w:r>
      <w:r>
        <w:rPr>
          <w:szCs w:val="24"/>
        </w:rPr>
        <w:t xml:space="preserve"> (Lietuvos Respublikos </w:t>
      </w:r>
      <w:r>
        <w:t xml:space="preserve">socialinės apsaugos ir darbo ministro  </w:t>
      </w:r>
    </w:p>
    <w:p>
      <w:pPr>
        <w:tabs>
          <w:tab w:val="left" w:pos="9072"/>
        </w:tabs>
        <w:ind w:left="5040"/>
        <w:rPr>
          <w:szCs w:val="24"/>
        </w:rPr>
      </w:pPr>
      <w:r>
        <w:rPr>
          <w:szCs w:val="24"/>
        </w:rPr>
        <w:t xml:space="preserve">2020 m.                   d. įsakymo Nr. A1-</w:t>
      </w:r>
    </w:p>
    <w:p>
      <w:pPr>
        <w:tabs>
          <w:tab w:val="left" w:pos="851"/>
          <w:tab w:val="left" w:pos="993"/>
          <w:tab w:val="left" w:pos="1134"/>
          <w:tab w:val="left" w:pos="1276"/>
          <w:tab w:val="left" w:pos="1418"/>
          <w:tab w:val="left" w:pos="1560"/>
          <w:tab w:val="left" w:pos="1701"/>
          <w:tab w:val="left" w:pos="1843"/>
        </w:tabs>
        <w:ind w:left="5040"/>
        <w:jc w:val="both"/>
        <w:rPr>
          <w:szCs w:val="24"/>
        </w:rPr>
      </w:pPr>
      <w:r>
        <w:rPr>
          <w:szCs w:val="24"/>
        </w:rPr>
        <w:t>redakcija</w:t>
      </w:r>
    </w:p>
    <w:p>
      <w:pPr>
        <w:ind w:left="5040"/>
      </w:pPr>
    </w:p>
    <w:p>
      <w:pPr>
        <w:widowControl w:val="0"/>
        <w:shd w:val="clear" w:color="auto" w:fill="FFFFFF"/>
        <w:jc w:val="center"/>
        <w:rPr>
          <w:b/>
        </w:rPr>
      </w:pPr>
      <w:r>
        <w:rPr>
          <w:b/>
        </w:rPr>
        <w:t>ESKALATORIŲ IR JUDAMŲJŲ TAKŲ PRIEŽIŪROS TAISYKLĖS</w:t>
      </w:r>
    </w:p>
    <w:p>
      <w:pPr>
        <w:widowControl w:val="0"/>
        <w:shd w:val="clear" w:color="auto" w:fill="FFFFFF"/>
        <w:jc w:val="center"/>
        <w:rPr>
          <w:b/>
        </w:rPr>
      </w:pPr>
    </w:p>
    <w:p>
      <w:pPr>
        <w:widowControl w:val="0"/>
        <w:shd w:val="clear" w:color="auto" w:fill="FFFFFF"/>
        <w:jc w:val="center"/>
        <w:rPr>
          <w:b/>
          <w:bCs/>
        </w:rPr>
      </w:pPr>
      <w:r>
        <w:rPr>
          <w:b/>
          <w:bCs/>
        </w:rPr>
        <w:t>I</w:t>
      </w:r>
      <w:r>
        <w:rPr>
          <w:b/>
          <w:bCs/>
        </w:rPr>
        <w:t xml:space="preserve"> SKYRIUS</w:t>
      </w:r>
    </w:p>
    <w:p>
      <w:pPr>
        <w:keepLines/>
        <w:suppressAutoHyphens/>
        <w:jc w:val="center"/>
        <w:textAlignment w:val="center"/>
        <w:rPr>
          <w:b/>
          <w:bCs/>
          <w:caps/>
          <w:color w:val="000000"/>
          <w:szCs w:val="24"/>
        </w:rPr>
      </w:pPr>
      <w:r>
        <w:rPr>
          <w:b/>
          <w:bCs/>
          <w:caps/>
          <w:color w:val="000000"/>
          <w:szCs w:val="24"/>
        </w:rPr>
        <w:t>BENDROSIOS NUOSTATOS</w:t>
      </w:r>
    </w:p>
    <w:p/>
    <w:p>
      <w:pPr>
        <w:widowControl w:val="0"/>
        <w:shd w:val="clear" w:color="auto" w:fill="FFFFFF"/>
        <w:ind w:firstLine="810"/>
        <w:jc w:val="both"/>
      </w:pPr>
      <w:r>
        <w:t>1</w:t>
      </w:r>
      <w:r>
        <w:t>. Eskalatorių ir judamųjų takų priežiūros</w:t>
      </w:r>
      <w:r>
        <w:rPr>
          <w:b/>
        </w:rPr>
        <w:t xml:space="preserve"> </w:t>
      </w:r>
      <w:r>
        <w:t xml:space="preserve">taisyklės (toliau – Taisyklės) nustato </w:t>
      </w:r>
      <w:r>
        <w:rPr>
          <w:szCs w:val="24"/>
        </w:rPr>
        <w:t>Potencialiai pavojingų įrenginių kategorijų parametrų sąrašo, patvirtinto Lietuvos Respublikos Vyriausybės 2001 m. birželio 29 d. nutarimu Nr. 817 „D</w:t>
      </w:r>
      <w:r>
        <w:rPr>
          <w:bCs/>
          <w:szCs w:val="24"/>
        </w:rPr>
        <w:t>ėl Lietuvos Respublikos potencialiai pavojingų įrenginių priežiūros įstatymo įgyvendinimo</w:t>
      </w:r>
      <w:r>
        <w:rPr>
          <w:szCs w:val="24"/>
        </w:rPr>
        <w:t>“, 2.8</w:t>
      </w:r>
      <w:r>
        <w:rPr>
          <w:rFonts w:eastAsia="Calibri"/>
          <w:szCs w:val="24"/>
        </w:rPr>
        <w:t xml:space="preserve">.1 </w:t>
      </w:r>
      <w:r>
        <w:rPr>
          <w:szCs w:val="24"/>
        </w:rPr>
        <w:t xml:space="preserve">papunktyje nurodytų </w:t>
      </w:r>
      <w:r>
        <w:t>eskalatorių bei judamųjų takų, skirtų žmonėms pervežti (toliau – įrenginys), nuolatinės priežiūros bei jų techninės būklės tikrinimo reikalavimus.</w:t>
      </w:r>
    </w:p>
    <w:p>
      <w:pPr>
        <w:widowControl w:val="0"/>
        <w:tabs>
          <w:tab w:val="left" w:pos="1134"/>
          <w:tab w:val="left" w:pos="1276"/>
          <w:tab w:val="left" w:pos="1418"/>
          <w:tab w:val="left" w:pos="1560"/>
          <w:tab w:val="left" w:pos="1701"/>
          <w:tab w:val="left" w:pos="1843"/>
          <w:tab w:val="left" w:pos="1985"/>
        </w:tabs>
        <w:ind w:firstLine="810"/>
        <w:jc w:val="both"/>
      </w:pPr>
      <w:r>
        <w:t>2</w:t>
      </w:r>
      <w:r>
        <w:t xml:space="preserve">. Taisyklėse </w:t>
      </w:r>
      <w:r>
        <w:rPr>
          <w:color w:val="000000"/>
        </w:rPr>
        <w:t>vartojamos sąvokos apibrėžtos Lietuvos Respublikos potencialiai pavojingų įrenginių priežiūros įstatyme</w:t>
      </w:r>
      <w:r>
        <w:t xml:space="preserve">, Lietuvos Respublikos darbuotojų saugos ir sveikatos įstatyme, techniniame reglamente „Mašinų sauga“, patvirtintame Lietuvos Respublikos socialinės apsaugos ir darbo ministro 2000 m. kovo 6 d. įsakymu Nr. 28 </w:t>
      </w:r>
      <w:r>
        <w:rPr>
          <w:szCs w:val="24"/>
          <w:lang w:eastAsia="ru-RU"/>
        </w:rPr>
        <w:t>„Dėl techninio reglamento „Mašinų sauga“ patvirtinimo“ (toliau – techninis reglamentas „Mašinų sauga“)</w:t>
      </w:r>
      <w:r>
        <w:t>,</w:t>
      </w:r>
      <w:r>
        <w:rPr>
          <w:color w:val="000000"/>
        </w:rPr>
        <w:t xml:space="preserve"> darniuosiuose </w:t>
      </w:r>
      <w:r>
        <w:t>standartuose LST EN 115 „</w:t>
      </w:r>
      <w:r>
        <w:rPr>
          <w:szCs w:val="24"/>
          <w:lang w:eastAsia="lt-LT"/>
        </w:rPr>
        <w:t>Eskalatorių ir judamųjų takų sauga. 1 dalis. Konstravimas ir įrengimas</w:t>
      </w:r>
      <w:r>
        <w:t>“, LST EN 13015 „Liftų ir eskalatorių techninė priežiūra. Techninės priežiūros instrukcijų rengimo taisyklės“</w:t>
      </w:r>
      <w:r>
        <w:rPr>
          <w:color w:val="000000"/>
        </w:rPr>
        <w:t>.</w:t>
      </w:r>
      <w:r>
        <w:t xml:space="preserve"> </w:t>
      </w:r>
    </w:p>
    <w:p>
      <w:pPr>
        <w:tabs>
          <w:tab w:val="left" w:pos="1134"/>
          <w:tab w:val="left" w:pos="1276"/>
          <w:tab w:val="left" w:pos="1418"/>
          <w:tab w:val="left" w:pos="1560"/>
          <w:tab w:val="left" w:pos="1701"/>
          <w:tab w:val="left" w:pos="1843"/>
          <w:tab w:val="left" w:pos="1985"/>
        </w:tabs>
        <w:ind w:firstLine="810"/>
        <w:jc w:val="both"/>
      </w:pPr>
      <w:r>
        <w:t>3</w:t>
      </w:r>
      <w:r>
        <w:t>. Pradedami naudoti į</w:t>
      </w:r>
      <w:r>
        <w:rPr>
          <w:szCs w:val="24"/>
        </w:rPr>
        <w:t xml:space="preserve">renginiai turi atitikti techninio reglamento </w:t>
      </w:r>
      <w:r>
        <w:t>„Mašinų sauga“</w:t>
      </w:r>
      <w:r>
        <w:rPr>
          <w:szCs w:val="24"/>
        </w:rPr>
        <w:t xml:space="preserve"> reikalavimus</w:t>
      </w:r>
      <w:r>
        <w:t xml:space="preserve">. </w:t>
      </w:r>
    </w:p>
    <w:p>
      <w:pPr>
        <w:tabs>
          <w:tab w:val="left" w:pos="1134"/>
          <w:tab w:val="left" w:pos="1276"/>
          <w:tab w:val="left" w:pos="1418"/>
          <w:tab w:val="left" w:pos="1560"/>
          <w:tab w:val="left" w:pos="1701"/>
          <w:tab w:val="left" w:pos="1843"/>
          <w:tab w:val="left" w:pos="1985"/>
        </w:tabs>
        <w:jc w:val="both"/>
      </w:pPr>
    </w:p>
    <w:p>
      <w:pPr>
        <w:widowControl w:val="0"/>
        <w:shd w:val="clear" w:color="auto" w:fill="FFFFFF"/>
        <w:jc w:val="center"/>
        <w:rPr>
          <w:bCs/>
        </w:rPr>
      </w:pPr>
      <w:r>
        <w:rPr>
          <w:b/>
          <w:bCs/>
        </w:rPr>
        <w:t>II</w:t>
      </w:r>
      <w:r>
        <w:rPr>
          <w:b/>
          <w:bCs/>
        </w:rPr>
        <w:t xml:space="preserve"> SKYRIUS</w:t>
      </w:r>
      <w:r>
        <w:rPr>
          <w:bCs/>
        </w:rPr>
        <w:t xml:space="preserve"> </w:t>
      </w:r>
    </w:p>
    <w:p>
      <w:pPr>
        <w:widowControl w:val="0"/>
        <w:shd w:val="clear" w:color="auto" w:fill="FFFFFF"/>
        <w:jc w:val="center"/>
        <w:rPr>
          <w:b/>
        </w:rPr>
      </w:pPr>
      <w:r>
        <w:rPr>
          <w:b/>
          <w:bCs/>
        </w:rPr>
        <w:t xml:space="preserve">ĮRENGINIO NUOLATINĖ PRIEŽIŪRA </w:t>
      </w:r>
    </w:p>
    <w:p>
      <w:pPr>
        <w:tabs>
          <w:tab w:val="left" w:pos="1134"/>
          <w:tab w:val="left" w:pos="1276"/>
          <w:tab w:val="left" w:pos="1418"/>
          <w:tab w:val="left" w:pos="1560"/>
          <w:tab w:val="left" w:pos="1701"/>
          <w:tab w:val="left" w:pos="1843"/>
          <w:tab w:val="left" w:pos="1985"/>
        </w:tabs>
        <w:jc w:val="both"/>
      </w:pPr>
    </w:p>
    <w:p>
      <w:pPr>
        <w:tabs>
          <w:tab w:val="left" w:pos="1134"/>
          <w:tab w:val="left" w:pos="1276"/>
          <w:tab w:val="left" w:pos="1418"/>
          <w:tab w:val="left" w:pos="1560"/>
          <w:tab w:val="left" w:pos="1701"/>
          <w:tab w:val="left" w:pos="1843"/>
          <w:tab w:val="left" w:pos="1985"/>
        </w:tabs>
        <w:ind w:firstLine="810"/>
        <w:jc w:val="both"/>
      </w:pPr>
      <w:r>
        <w:t>4</w:t>
      </w:r>
      <w:r>
        <w:t xml:space="preserve">. </w:t>
      </w:r>
      <w:r>
        <w:rPr>
          <w:szCs w:val="24"/>
        </w:rPr>
        <w:t xml:space="preserve">Prieš pradėdamas įrenginį naudoti pirmą kartą, jo savininkas turi sudaryti sutartį dėl įrenginio techninės būklės tikrinimo su jo paties pasirinkta akredituotąja </w:t>
      </w:r>
      <w:r>
        <w:t xml:space="preserve">potencialiai pavojingų įrenginių techninės būklės tikrinimo </w:t>
      </w:r>
      <w:r>
        <w:rPr>
          <w:szCs w:val="24"/>
        </w:rPr>
        <w:t xml:space="preserve">įstaiga (toliau – akredituotoji įstaiga), pakviesti ją atlikti įrenginio techninės būklės tikrinimą ir gavęs akredituotosios įstaigos išvadą, kad įrenginys tinkamas naudoti, </w:t>
      </w:r>
      <w:r>
        <w:t>saugus žmonių gyvybei, sveikatai ir aplinkai</w:t>
      </w:r>
      <w:r>
        <w:rPr>
          <w:szCs w:val="24"/>
        </w:rPr>
        <w:t xml:space="preserve">; užregistruoti jį Potencialiai pavojingų įrenginių valstybės registre (toliau – PPĮ registras) Potencialiai pavojingų įrenginių valstybės registro nuostatuose, patvirtintuose Lietuvos Respublikos Vyriausybės </w:t>
      </w:r>
      <w:smartTag w:uri="urn:schemas-microsoft-com:office:smarttags" w:element="metricconverter">
        <w:smartTagPr>
          <w:attr w:name="ProductID" w:val="2002 m"/>
        </w:smartTagPr>
        <w:r>
          <w:rPr>
            <w:szCs w:val="24"/>
          </w:rPr>
          <w:t>2002 m</w:t>
        </w:r>
      </w:smartTag>
      <w:r>
        <w:rPr>
          <w:szCs w:val="24"/>
        </w:rPr>
        <w:t>. gegužės 9 d. nutarimu Nr. 645 „</w:t>
      </w:r>
      <w:r>
        <w:rPr>
          <w:bCs/>
          <w:szCs w:val="24"/>
        </w:rPr>
        <w:t>Dėl Potencialiai pavojingų įrenginių valstybės registro įsteigimo ir Potencialiai pavojingų įrenginių valstybės registro nuostatų patvirtinimo“</w:t>
      </w:r>
      <w:r>
        <w:rPr>
          <w:szCs w:val="24"/>
        </w:rPr>
        <w:t>, nustatyta tvarka. PPĮ registre neužregistruotą įrenginį naudoti draudžiama.</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w:t>
      </w:r>
      <w:r>
        <w:rPr>
          <w:szCs w:val="24"/>
        </w:rPr>
        <w:t xml:space="preserve">. Įrenginio </w:t>
      </w:r>
      <w:r>
        <w:t xml:space="preserve">savininkas privalo turėti </w:t>
      </w:r>
      <w:r>
        <w:rPr>
          <w:szCs w:val="24"/>
        </w:rPr>
        <w:t xml:space="preserve">įrenginio  t</w:t>
      </w:r>
      <w:r>
        <w:rPr>
          <w:bCs/>
          <w:szCs w:val="24"/>
        </w:rPr>
        <w:t>echninių dokumentų</w:t>
      </w:r>
      <w:r>
        <w:rPr>
          <w:b/>
          <w:bCs/>
          <w:szCs w:val="24"/>
        </w:rPr>
        <w:t xml:space="preserve"> </w:t>
      </w:r>
      <w:r>
        <w:t>bylą,</w:t>
      </w:r>
      <w:r>
        <w:rPr>
          <w:szCs w:val="24"/>
        </w:rPr>
        <w:t xml:space="preserve"> </w:t>
      </w:r>
      <w:r>
        <w:t xml:space="preserve">kuri turi būti saugoma ir kaupiamaisiais dokumentais pildoma visą </w:t>
      </w:r>
      <w:r>
        <w:rPr>
          <w:szCs w:val="24"/>
        </w:rPr>
        <w:t xml:space="preserve">įrenginio </w:t>
      </w:r>
      <w:r>
        <w:t xml:space="preserve">naudojimo laiką tol, kol jis nebus </w:t>
      </w:r>
      <w:r>
        <w:rPr>
          <w:color w:val="000000"/>
        </w:rPr>
        <w:t>sutvarkytas Lietuvos Respublikos atliekų tvarkymo įstatymo nustatyta tvarka</w:t>
      </w:r>
      <w:r>
        <w:t xml:space="preserve">. </w:t>
      </w:r>
      <w:r>
        <w:rPr>
          <w:szCs w:val="24"/>
        </w:rPr>
        <w:t>Techninių dokumentų byloje turi būti šie duomenys ir dokumentai:</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5.1</w:t>
      </w:r>
      <w:r>
        <w:rPr>
          <w:szCs w:val="24"/>
        </w:rPr>
        <w:t xml:space="preserve">. </w:t>
      </w:r>
      <w:r>
        <w:rPr>
          <w:bCs/>
          <w:szCs w:val="24"/>
        </w:rPr>
        <w:t xml:space="preserve">įrenginio </w:t>
      </w:r>
      <w:r>
        <w:rPr>
          <w:szCs w:val="24"/>
        </w:rPr>
        <w:t>techniniai dokumentai, instrukcijos, būtinos įrenginiui tinkamai naudoti, prižiūrėti, remontuoti ir jo veikimui tikrinti (toliau – techniniai dokumentai);</w:t>
      </w:r>
    </w:p>
    <w:p>
      <w:pPr>
        <w:tabs>
          <w:tab w:val="left" w:pos="1021"/>
          <w:tab w:val="left" w:pos="1276"/>
          <w:tab w:val="left" w:pos="1418"/>
          <w:tab w:val="left" w:pos="1560"/>
          <w:tab w:val="left" w:pos="1701"/>
          <w:tab w:val="left" w:pos="1843"/>
          <w:tab w:val="left" w:pos="1985"/>
          <w:tab w:val="left" w:pos="2127"/>
          <w:tab w:val="left" w:pos="2268"/>
        </w:tabs>
        <w:suppressAutoHyphens/>
        <w:ind w:firstLine="810"/>
        <w:jc w:val="both"/>
        <w:textAlignment w:val="center"/>
        <w:rPr>
          <w:color w:val="000000"/>
          <w:szCs w:val="24"/>
        </w:rPr>
      </w:pPr>
      <w:r>
        <w:rPr>
          <w:color w:val="000000"/>
          <w:szCs w:val="24"/>
        </w:rPr>
        <w:t>5.2</w:t>
      </w:r>
      <w:r>
        <w:rPr>
          <w:color w:val="000000"/>
          <w:szCs w:val="24"/>
        </w:rPr>
        <w:t xml:space="preserve">. </w:t>
      </w:r>
      <w:r>
        <w:rPr>
          <w:rFonts w:eastAsia="Calibri"/>
          <w:szCs w:val="24"/>
        </w:rPr>
        <w:t xml:space="preserve">EB atitikties deklaracija, jeigu </w:t>
      </w:r>
      <w:r>
        <w:rPr>
          <w:bCs/>
          <w:szCs w:val="24"/>
        </w:rPr>
        <w:t xml:space="preserve">įrenginys </w:t>
      </w:r>
      <w:r>
        <w:rPr>
          <w:rFonts w:eastAsia="Calibri"/>
          <w:szCs w:val="22"/>
        </w:rPr>
        <w:t>sumontuotas įsigaliojus techniniam reglamentui „Mašinų sauga“;</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5.3</w:t>
      </w:r>
      <w:r>
        <w:rPr>
          <w:szCs w:val="24"/>
        </w:rPr>
        <w:t>. įrenginio priežiūros žurnalas, kuriame chronologine tvarka turi būti daromi įrašai apie nuolatinės priežiūros veiksmus, apžiūrų rezultatus, remontus (veiksmų atlikimo data ir juos atlikęs subjektas – juridinio asmens pavadinimas ar fizinio asmens vardas ir pavardė), avarijų, gedimų, veikimo sutrikimo atvejus, modifikavimus (data, pobūdis), techninės būklės tikrinimus ir kitus su įrenginio priežiūra susijusius veiksmus (veiksmų atlikimo data ir juos atlikęs subjektas – juridinio asmens pavadinimas ar fizinio asmens vardas ir pavardė);</w:t>
      </w:r>
    </w:p>
    <w:p>
      <w:pPr>
        <w:tabs>
          <w:tab w:val="left" w:pos="1021"/>
          <w:tab w:val="left" w:pos="1276"/>
          <w:tab w:val="left" w:pos="1418"/>
          <w:tab w:val="left" w:pos="1560"/>
          <w:tab w:val="left" w:pos="1701"/>
          <w:tab w:val="left" w:pos="1843"/>
          <w:tab w:val="left" w:pos="1985"/>
          <w:tab w:val="left" w:pos="2127"/>
          <w:tab w:val="left" w:pos="2268"/>
        </w:tabs>
        <w:suppressAutoHyphens/>
        <w:ind w:firstLine="810"/>
        <w:jc w:val="both"/>
        <w:textAlignment w:val="center"/>
        <w:rPr>
          <w:color w:val="000000"/>
          <w:szCs w:val="24"/>
        </w:rPr>
      </w:pPr>
      <w:r>
        <w:rPr>
          <w:color w:val="000000"/>
          <w:szCs w:val="24"/>
        </w:rPr>
        <w:t>5.4</w:t>
      </w:r>
      <w:r>
        <w:rPr>
          <w:color w:val="000000"/>
          <w:szCs w:val="24"/>
        </w:rPr>
        <w:t xml:space="preserve">. </w:t>
      </w:r>
      <w:r>
        <w:rPr>
          <w:szCs w:val="24"/>
        </w:rPr>
        <w:t xml:space="preserve">įrenginio </w:t>
      </w:r>
      <w:r>
        <w:rPr>
          <w:color w:val="000000"/>
          <w:szCs w:val="24"/>
        </w:rPr>
        <w:t>gamintojo ir (ar) įrengėjo (toliau – gamintojas) duomenys (</w:t>
      </w:r>
      <w:r>
        <w:rPr>
          <w:szCs w:val="24"/>
        </w:rPr>
        <w:t>pavadinimas, teisinė forma ir buveinės adresas</w:t>
      </w:r>
      <w:r>
        <w:rPr>
          <w:color w:val="000000"/>
          <w:szCs w:val="24"/>
        </w:rPr>
        <w:t>);</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5.5</w:t>
      </w:r>
      <w:r>
        <w:rPr>
          <w:szCs w:val="24"/>
        </w:rPr>
        <w:t xml:space="preserve">. įrenginio savininko </w:t>
      </w:r>
      <w:r>
        <w:t>duomenys (</w:t>
      </w:r>
      <w:r>
        <w:rPr>
          <w:szCs w:val="24"/>
        </w:rPr>
        <w:t>juridinio asmens pavadinimas, teisinė forma, kodas ir buveinės adresas arba fizinio asmens vardas ir pavardė, asmens kodas (gimimo data, jeigu nėra asmens kodo), telefono ryšio numeris, el. pašto adresas ir deklaruotos gyvenamosios vietos adresas) ir įrašo data;</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5.6</w:t>
      </w:r>
      <w:r>
        <w:rPr>
          <w:szCs w:val="24"/>
        </w:rPr>
        <w:t>. įrenginio sumontavimo vieta (adresas) ir data (metai, mėnuo, diena);</w:t>
      </w:r>
    </w:p>
    <w:p>
      <w:pPr>
        <w:widowControl w:val="0"/>
        <w:ind w:firstLine="810"/>
        <w:jc w:val="both"/>
      </w:pPr>
      <w:r>
        <w:t>5.7</w:t>
      </w:r>
      <w:r>
        <w:t xml:space="preserve">. </w:t>
      </w:r>
      <w:r>
        <w:rPr>
          <w:szCs w:val="24"/>
        </w:rPr>
        <w:t xml:space="preserve">įrenginio </w:t>
      </w:r>
      <w:r>
        <w:t>pradėjimo naudoti data</w:t>
      </w:r>
      <w:r>
        <w:rPr>
          <w:szCs w:val="24"/>
        </w:rPr>
        <w:t xml:space="preserve"> (metai, mėnuo, diena);</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5.8</w:t>
      </w:r>
      <w:r>
        <w:rPr>
          <w:szCs w:val="24"/>
        </w:rPr>
        <w:t xml:space="preserve">. </w:t>
      </w:r>
      <w:r>
        <w:t>įrenginio įrengimo statinyje brėžiniai;</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5.9</w:t>
      </w:r>
      <w:r>
        <w:rPr>
          <w:szCs w:val="24"/>
        </w:rPr>
        <w:t xml:space="preserve">. įrenginio užregistravimo PPĮ registre </w:t>
      </w:r>
      <w:r>
        <w:t xml:space="preserve">pažymėjimas ar </w:t>
      </w:r>
      <w:r>
        <w:rPr>
          <w:szCs w:val="24"/>
        </w:rPr>
        <w:t>pažyma;</w:t>
      </w:r>
    </w:p>
    <w:p>
      <w:pPr>
        <w:tabs>
          <w:tab w:val="left" w:pos="851"/>
          <w:tab w:val="left" w:pos="993"/>
          <w:tab w:val="left" w:pos="1134"/>
          <w:tab w:val="left" w:pos="1276"/>
          <w:tab w:val="left" w:pos="1418"/>
          <w:tab w:val="left" w:pos="1560"/>
          <w:tab w:val="left" w:pos="1701"/>
          <w:tab w:val="left" w:pos="1843"/>
        </w:tabs>
        <w:ind w:firstLine="562"/>
        <w:jc w:val="both"/>
        <w:rPr>
          <w:szCs w:val="24"/>
        </w:rPr>
      </w:pPr>
      <w:r>
        <w:rPr>
          <w:szCs w:val="24"/>
        </w:rPr>
        <w:t>5.10</w:t>
      </w:r>
      <w:r>
        <w:rPr>
          <w:szCs w:val="24"/>
        </w:rPr>
        <w:t xml:space="preserve">. įrenginio priežiūros meistro vardas, pavardė, skyrimo data </w:t>
      </w:r>
      <w:r>
        <w:rPr>
          <w:color w:val="000000"/>
          <w:szCs w:val="24"/>
        </w:rPr>
        <w:t xml:space="preserve">(metai, mėnuo, diena) </w:t>
      </w:r>
      <w:r>
        <w:rPr>
          <w:szCs w:val="24"/>
        </w:rPr>
        <w:t>ir skyrimo pareigoms dokumento kopija;</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5.11</w:t>
      </w:r>
      <w:r>
        <w:rPr>
          <w:szCs w:val="24"/>
        </w:rPr>
        <w:t>. akredituotosios įstaigos atliktų įrenginio techninės būklės tikrinimų išvadų egzemplioriai;</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5.12</w:t>
      </w:r>
      <w:r>
        <w:rPr>
          <w:szCs w:val="24"/>
        </w:rPr>
        <w:t>. įrenginio planinių apžiūrų ir remonto</w:t>
      </w:r>
      <w:r>
        <w:rPr>
          <w:b/>
          <w:szCs w:val="24"/>
        </w:rPr>
        <w:t xml:space="preserve"> </w:t>
      </w:r>
      <w:r>
        <w:rPr>
          <w:szCs w:val="24"/>
        </w:rPr>
        <w:t xml:space="preserve">grafikas; </w:t>
      </w:r>
    </w:p>
    <w:p>
      <w:pPr>
        <w:tabs>
          <w:tab w:val="left" w:pos="851"/>
          <w:tab w:val="left" w:pos="993"/>
          <w:tab w:val="left" w:pos="1134"/>
          <w:tab w:val="left" w:pos="1276"/>
          <w:tab w:val="left" w:pos="1418"/>
          <w:tab w:val="left" w:pos="1560"/>
          <w:tab w:val="left" w:pos="1701"/>
          <w:tab w:val="left" w:pos="1843"/>
        </w:tabs>
        <w:ind w:firstLine="562"/>
        <w:jc w:val="both"/>
        <w:rPr>
          <w:szCs w:val="24"/>
        </w:rPr>
      </w:pPr>
      <w:r>
        <w:rPr>
          <w:szCs w:val="24"/>
        </w:rPr>
        <w:t>5.13</w:t>
      </w:r>
      <w:r>
        <w:rPr>
          <w:szCs w:val="24"/>
        </w:rPr>
        <w:t xml:space="preserve">. kaupiamieji dokumentai (varžų matavimo protokolai, atliktų remontų ataskaitos, naudotų medžiagų, pakeistų konstrukcijų, įtaisų, detalių ar elementų žymenys, sertifikatai, </w:t>
      </w:r>
      <w:r>
        <w:t>avarijų tyrimo aktai,</w:t>
      </w:r>
      <w:r>
        <w:rPr>
          <w:szCs w:val="24"/>
        </w:rPr>
        <w:t xml:space="preserve"> dokumentuoti duomenys apie gedimus, veikimo sutrikimus ir kiti su įrenginio priežiūra ir naudojimu susiję dokumentai);.</w:t>
      </w:r>
    </w:p>
    <w:p>
      <w:pPr>
        <w:tabs>
          <w:tab w:val="left" w:pos="1134"/>
          <w:tab w:val="left" w:pos="1276"/>
          <w:tab w:val="left" w:pos="1560"/>
        </w:tabs>
        <w:ind w:firstLine="810"/>
        <w:jc w:val="both"/>
        <w:rPr>
          <w:rFonts w:ascii="TimesLT" w:hAnsi="TimesLT"/>
          <w:szCs w:val="24"/>
        </w:rPr>
      </w:pPr>
      <w:r>
        <w:rPr>
          <w:rFonts w:ascii="TimesLT" w:hAnsi="TimesLT"/>
          <w:szCs w:val="24"/>
        </w:rPr>
        <w:t>6</w:t>
      </w:r>
      <w:r>
        <w:rPr>
          <w:rFonts w:ascii="TimesLT" w:hAnsi="TimesLT"/>
          <w:szCs w:val="24"/>
        </w:rPr>
        <w:t xml:space="preserve">. Įrenginio </w:t>
      </w:r>
      <w:r>
        <w:rPr>
          <w:szCs w:val="24"/>
        </w:rPr>
        <w:t xml:space="preserve">savininkas: </w:t>
      </w:r>
    </w:p>
    <w:p>
      <w:pPr>
        <w:tabs>
          <w:tab w:val="left" w:pos="1134"/>
          <w:tab w:val="left" w:pos="1276"/>
          <w:tab w:val="left" w:pos="1560"/>
        </w:tabs>
        <w:ind w:firstLine="810"/>
        <w:jc w:val="both"/>
        <w:rPr>
          <w:rFonts w:ascii="TimesLT" w:hAnsi="TimesLT"/>
          <w:szCs w:val="24"/>
        </w:rPr>
      </w:pPr>
      <w:r>
        <w:rPr>
          <w:rFonts w:ascii="TimesLT" w:hAnsi="TimesLT"/>
          <w:szCs w:val="24"/>
        </w:rPr>
        <w:t>6.1</w:t>
      </w:r>
      <w:r>
        <w:rPr>
          <w:rFonts w:ascii="TimesLT" w:hAnsi="TimesLT"/>
          <w:szCs w:val="24"/>
        </w:rPr>
        <w:t xml:space="preserve">. </w:t>
      </w:r>
      <w:r>
        <w:rPr>
          <w:szCs w:val="24"/>
        </w:rPr>
        <w:t xml:space="preserve">nuolatinę </w:t>
      </w:r>
      <w:r>
        <w:rPr>
          <w:rFonts w:ascii="TimesLT" w:hAnsi="TimesLT"/>
          <w:szCs w:val="24"/>
        </w:rPr>
        <w:t xml:space="preserve">įrenginio </w:t>
      </w:r>
      <w:r>
        <w:rPr>
          <w:szCs w:val="24"/>
        </w:rPr>
        <w:t>priežiūrą turi teisę atlikti savo jėgomis, kai:</w:t>
      </w:r>
    </w:p>
    <w:p>
      <w:pPr>
        <w:tabs>
          <w:tab w:val="left" w:pos="1134"/>
          <w:tab w:val="left" w:pos="1276"/>
          <w:tab w:val="left" w:pos="1560"/>
        </w:tabs>
        <w:ind w:firstLine="810"/>
        <w:jc w:val="both"/>
        <w:rPr>
          <w:rFonts w:ascii="TimesLT" w:hAnsi="TimesLT"/>
          <w:szCs w:val="24"/>
        </w:rPr>
      </w:pPr>
      <w:r>
        <w:rPr>
          <w:rFonts w:ascii="TimesLT" w:hAnsi="TimesLT"/>
          <w:szCs w:val="24"/>
        </w:rPr>
        <w:t>6.1.1</w:t>
      </w:r>
      <w:r>
        <w:rPr>
          <w:rFonts w:ascii="TimesLT" w:hAnsi="TimesLT"/>
          <w:szCs w:val="24"/>
        </w:rPr>
        <w:t xml:space="preserve"> </w:t>
      </w:r>
      <w:r>
        <w:rPr>
          <w:szCs w:val="24"/>
        </w:rPr>
        <w:t xml:space="preserve">turi, jei jis yra fizinis asmuo, kvalifikaciją ar specialių žinių ir įgūdžių, kaip nustatyta Reikalavimuose darbuotojų, kuriems pavesta atlikti potencialiai pavojingų įrenginių priežiūrą ar juos pertvarkyti, ir darbų su potencialiai pavojingais įrenginiais vadovų kvalifikacijai arba specialioms žinioms ir įgūdžiams, patvirtintuose Lietuvos Respublikos socialinės apsaugos ir darbo ministro 2017 m. birželio 29 d. įsakymu Nr. A1-333 „Dėl Reikalavimų darbuotojų, kuriems pavesta atlikti potencialiai pavojingų įrenginių priežiūrą ar juos pertvarkyti, ir darbų su potencialiai pavojingais įrenginiais vadovų kvalifikacijai arba specialioms žinioms ir įgūdžiams patvirtinimo“ (toliau – </w:t>
      </w:r>
      <w:r>
        <w:rPr>
          <w:rFonts w:ascii="TimesLT" w:hAnsi="TimesLT"/>
          <w:szCs w:val="24"/>
          <w:lang w:val="en-US"/>
        </w:rPr>
        <w:t>Įsakymas Nr. A1-333</w:t>
      </w:r>
      <w:r>
        <w:rPr>
          <w:szCs w:val="24"/>
        </w:rPr>
        <w:t xml:space="preserve">), ar yra paskyręs  darbuotojus, atitinkančius šiame papunktyje nustatytus reikalavimus;</w:t>
      </w:r>
    </w:p>
    <w:p>
      <w:pPr>
        <w:tabs>
          <w:tab w:val="left" w:pos="1134"/>
          <w:tab w:val="left" w:pos="1276"/>
          <w:tab w:val="left" w:pos="1560"/>
        </w:tabs>
        <w:ind w:firstLine="810"/>
        <w:jc w:val="both"/>
        <w:rPr>
          <w:rFonts w:ascii="TimesLT" w:hAnsi="TimesLT"/>
          <w:szCs w:val="24"/>
        </w:rPr>
      </w:pPr>
      <w:r>
        <w:rPr>
          <w:rFonts w:ascii="TimesLT" w:hAnsi="TimesLT"/>
          <w:szCs w:val="24"/>
        </w:rPr>
        <w:t>6.1.2</w:t>
      </w:r>
      <w:r>
        <w:rPr>
          <w:rFonts w:ascii="TimesLT" w:hAnsi="TimesLT"/>
          <w:szCs w:val="24"/>
        </w:rPr>
        <w:t xml:space="preserve"> </w:t>
      </w:r>
      <w:r>
        <w:rPr>
          <w:szCs w:val="24"/>
        </w:rPr>
        <w:t xml:space="preserve"> turi nuolatinei </w:t>
      </w:r>
      <w:r>
        <w:rPr>
          <w:rFonts w:ascii="TimesLT" w:hAnsi="TimesLT"/>
          <w:szCs w:val="24"/>
        </w:rPr>
        <w:t xml:space="preserve">įrenginio </w:t>
      </w:r>
      <w:r>
        <w:rPr>
          <w:szCs w:val="24"/>
        </w:rPr>
        <w:t xml:space="preserve">priežiūrai atlikti reikalingą įrangą, prietaisus ir kitas darbui reikalingas priemones, nustatytas Lietuvos Respublikos socialinės apsaugos ir darbo ministro patvirtintame Būtiniausios įrangos, prietaisų ir priemonių, </w:t>
      </w:r>
      <w:r>
        <w:rPr>
          <w:bCs/>
          <w:szCs w:val="24"/>
        </w:rPr>
        <w:t xml:space="preserve">reikalingų nuolatinei </w:t>
      </w:r>
      <w:r>
        <w:rPr>
          <w:szCs w:val="24"/>
          <w:lang w:val="pt-BR"/>
        </w:rPr>
        <w:t xml:space="preserve">potencialiai pavojingų </w:t>
      </w:r>
      <w:r>
        <w:rPr>
          <w:bCs/>
          <w:szCs w:val="24"/>
        </w:rPr>
        <w:t>įrenginių priežiūrai atlikti,</w:t>
      </w:r>
      <w:r>
        <w:rPr>
          <w:szCs w:val="24"/>
        </w:rPr>
        <w:t xml:space="preserve"> sąraše;</w:t>
      </w:r>
    </w:p>
    <w:p>
      <w:pPr>
        <w:tabs>
          <w:tab w:val="left" w:pos="1260"/>
          <w:tab w:val="left" w:pos="1350"/>
          <w:tab w:val="left" w:pos="1440"/>
        </w:tabs>
        <w:ind w:firstLine="810"/>
        <w:jc w:val="both"/>
        <w:rPr>
          <w:rFonts w:ascii="TimesLT" w:hAnsi="TimesLT"/>
          <w:szCs w:val="24"/>
        </w:rPr>
      </w:pPr>
      <w:r>
        <w:rPr>
          <w:rFonts w:ascii="TimesLT" w:hAnsi="TimesLT"/>
          <w:szCs w:val="24"/>
        </w:rPr>
        <w:t>6.1.3</w:t>
      </w:r>
      <w:r>
        <w:rPr>
          <w:rFonts w:ascii="TimesLT" w:hAnsi="TimesLT"/>
          <w:szCs w:val="24"/>
        </w:rPr>
        <w:t xml:space="preserve"> </w:t>
      </w:r>
      <w:r>
        <w:rPr>
          <w:szCs w:val="24"/>
        </w:rPr>
        <w:t xml:space="preserve">yra </w:t>
      </w:r>
      <w:r>
        <w:rPr>
          <w:iCs/>
          <w:szCs w:val="24"/>
        </w:rPr>
        <w:t>apsidraudęs civilinės atsakomybės draudimu (m</w:t>
      </w:r>
      <w:r>
        <w:rPr>
          <w:bCs/>
          <w:szCs w:val="24"/>
        </w:rPr>
        <w:t>inimali metinė draudimo suma negali būti mažesnė kaip šimtas tūkstančių eurų)</w:t>
      </w:r>
      <w:r>
        <w:rPr>
          <w:szCs w:val="24"/>
        </w:rPr>
        <w:t>;</w:t>
      </w:r>
    </w:p>
    <w:p>
      <w:pPr>
        <w:tabs>
          <w:tab w:val="left" w:pos="1134"/>
          <w:tab w:val="left" w:pos="1276"/>
          <w:tab w:val="left" w:pos="1418"/>
          <w:tab w:val="left" w:pos="1560"/>
          <w:tab w:val="left" w:pos="1701"/>
          <w:tab w:val="left" w:pos="1843"/>
          <w:tab w:val="left" w:pos="1985"/>
        </w:tabs>
        <w:ind w:firstLine="810"/>
        <w:jc w:val="both"/>
      </w:pPr>
      <w:r>
        <w:t>6.2</w:t>
      </w:r>
      <w:r>
        <w:t xml:space="preserve">. </w:t>
      </w:r>
      <w:r>
        <w:rPr>
          <w:szCs w:val="24"/>
        </w:rPr>
        <w:t xml:space="preserve">jeigu  neketina atlikti nuolatinę įrenginio priežiūrą savo jėgomis, turi sudaryti sutartį dėl nuolatinės įrenginio priežiūros su juridiniu</w:t>
      </w:r>
      <w:r>
        <w:rPr>
          <w:rFonts w:ascii="Courier New" w:hAnsi="Courier New" w:cs="Courier New"/>
          <w:color w:val="000000"/>
          <w:sz w:val="19"/>
          <w:szCs w:val="19"/>
          <w:lang w:eastAsia="lt-LT"/>
        </w:rPr>
        <w:t xml:space="preserve"> </w:t>
      </w:r>
      <w:r>
        <w:rPr>
          <w:szCs w:val="24"/>
        </w:rPr>
        <w:t>asmeniu, kuris užtikrino šiame punkte nustatytų reikalavimų įgyvendinimą, ar fiziniu asmeniu, kuris atitinka šiame punkte nustatytus reikalavimus (toliau – priežiūros vykdytojas).</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w:t>
      </w:r>
      <w:r>
        <w:rPr>
          <w:szCs w:val="24"/>
        </w:rPr>
        <w:t>. Įrenginio savininkas užtikrina, kad:</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7.1</w:t>
      </w:r>
      <w:r>
        <w:rPr>
          <w:szCs w:val="24"/>
        </w:rPr>
        <w:t xml:space="preserve">. </w:t>
      </w:r>
      <w:r>
        <w:t xml:space="preserve">vadovaujantis </w:t>
      </w:r>
      <w:r>
        <w:rPr>
          <w:szCs w:val="24"/>
        </w:rPr>
        <w:t xml:space="preserve">įrenginio </w:t>
      </w:r>
      <w:r>
        <w:t xml:space="preserve">techniniais dokumentais, Taisyklėmis, </w:t>
      </w:r>
      <w:r>
        <w:rPr>
          <w:szCs w:val="24"/>
        </w:rPr>
        <w:t xml:space="preserve">Potencialiai pavojingų įrenginių priežiūros įstatymu, Darbuotojų saugos ir sveikatos įstatymu </w:t>
      </w:r>
      <w:r>
        <w:t xml:space="preserve">ir kitais teisės aktais, reglamentuojančiais darbuotojų ir kitų žmonių saugą ir sveikatą, aplinkos apsaugą, </w:t>
      </w:r>
      <w:r>
        <w:rPr>
          <w:szCs w:val="24"/>
        </w:rPr>
        <w:t>įrenginys</w:t>
      </w:r>
      <w:r>
        <w:t xml:space="preserve"> būtų saugiai naudojamas ir palaikoma jo </w:t>
      </w:r>
      <w:r>
        <w:rPr>
          <w:szCs w:val="24"/>
        </w:rPr>
        <w:t>reikiama techninė būklė</w:t>
      </w:r>
      <w:r>
        <w:t xml:space="preserve"> tol, kol jis nebus sutvarkytas Atliekų tvarkymo įstatymo nustatyta tvarka ir išregistruotas iš PPĮ registro;</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7.2</w:t>
      </w:r>
      <w:r>
        <w:rPr>
          <w:szCs w:val="24"/>
        </w:rPr>
        <w:t>. įrenginio nuolatinei priežiūrai, būtų paskirti priežiūros meistras, kiti nuolatinę priežiūrą atliekantys darbuotojai, turintys tinkamą kvalifikaciją ar specialias žinias ir įgūdžius, kaip nustatyta Įsakyme Nr. A1-333;</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7.3</w:t>
      </w:r>
      <w:r>
        <w:rPr>
          <w:szCs w:val="24"/>
        </w:rPr>
        <w:t xml:space="preserve">. įrenginio nuolatinę priežiūrą atliekantys darbuotojai būtų aprūpinti visais šiai priežiūrai atlikti būtinais platforminio įrenginio techniniais dokumentais, įranga, prietaisais ir priemonėmis, būtų parengtos įrenginio nuolatinę priežiūrą atliekančių darbuotojų saugos ir sveikatos instrukcijos; </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7.4</w:t>
      </w:r>
      <w:r>
        <w:rPr>
          <w:szCs w:val="24"/>
        </w:rPr>
        <w:t>. užrašai, ženklai, informacinės lentelės, kurios pagal įrenginio techninius dokumentus turi būti pritvirtintos prie įrenginio konstrukcijų, valdymo, kontrolės ir saugos įtaisų, būtų lengvai įskaitomos ir suprantamos;</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7.5</w:t>
      </w:r>
      <w:r>
        <w:rPr>
          <w:szCs w:val="24"/>
        </w:rPr>
        <w:t>. vadovaujantis įrenginio techniniais dokumentais būtų sudarytas įrenginio planinių apžiūrų ir remonto</w:t>
      </w:r>
      <w:r>
        <w:rPr>
          <w:b/>
          <w:szCs w:val="24"/>
        </w:rPr>
        <w:t xml:space="preserve"> </w:t>
      </w:r>
      <w:r>
        <w:rPr>
          <w:szCs w:val="24"/>
        </w:rPr>
        <w:t xml:space="preserve">grafikas; </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7.6</w:t>
      </w:r>
      <w:r>
        <w:rPr>
          <w:szCs w:val="24"/>
        </w:rPr>
        <w:t>. būtų nustatyta įrenginio priežiūros žurnalo pildymo tvarka ir paskirti už tai atsakingi asmenys;</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7.7</w:t>
      </w:r>
      <w:r>
        <w:rPr>
          <w:szCs w:val="24"/>
        </w:rPr>
        <w:t xml:space="preserve">. įrenginys būtų eksploatuojamas tik turint akredituotosios įstaigos išvadą, kad įrenginys yra tinkamas naudoti, </w:t>
      </w:r>
      <w:r>
        <w:t>saugus žmonių gyvybei, sveikatai ir aplinkai</w:t>
      </w:r>
      <w:r>
        <w:rPr>
          <w:szCs w:val="24"/>
        </w:rPr>
        <w:t>;</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7.8</w:t>
      </w:r>
      <w:r>
        <w:rPr>
          <w:szCs w:val="24"/>
        </w:rPr>
        <w:t xml:space="preserve">. </w:t>
      </w:r>
      <w:r>
        <w:t xml:space="preserve">būtų organizuota įrenginio veikimo stebėsena, vertinami važiavimo kokybės pasikeitimai ir susidarius pavojingoms aplinkybėms, atsiradus gedimams, veikimo sutrikimams </w:t>
      </w:r>
      <w:r>
        <w:rPr>
          <w:color w:val="000000"/>
          <w:spacing w:val="-2"/>
          <w:szCs w:val="24"/>
        </w:rPr>
        <w:t xml:space="preserve">arba, kai </w:t>
      </w:r>
      <w:r>
        <w:rPr>
          <w:color w:val="000000"/>
          <w:szCs w:val="24"/>
        </w:rPr>
        <w:t>įrenginio</w:t>
      </w:r>
      <w:r>
        <w:rPr>
          <w:color w:val="000000"/>
          <w:spacing w:val="-2"/>
          <w:szCs w:val="24"/>
        </w:rPr>
        <w:t xml:space="preserve"> nuolatinės priežiūros ar techninės būklės tikrinimo metu nustatyta, kad įrenginys neatitinka esminių sveikatos ir saugos reikalavimų, </w:t>
      </w:r>
      <w:r>
        <w:rPr>
          <w:szCs w:val="24"/>
        </w:rPr>
        <w:t>gali įvykti įrenginio avarija, kad įrenginys kelia grėsmę žmonių sveikatai, gyvybei, turtui ar aplinkai, įrenginio naudojimas būtų nedelsiant sustabdytas ir pašalinus nustatytus trūkumus naudojimas būtų atnaujintas Taisyklių nustatyta tvarka</w:t>
      </w:r>
      <w:r>
        <w:t>;</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7.9</w:t>
      </w:r>
      <w:r>
        <w:rPr>
          <w:szCs w:val="24"/>
        </w:rPr>
        <w:t xml:space="preserve">. </w:t>
      </w:r>
      <w:r>
        <w:rPr>
          <w:color w:val="000000"/>
          <w:szCs w:val="24"/>
        </w:rPr>
        <w:t>įrenginio remontui naudojamos medžiagos, mazgai, elementai ir detalės būtų parenkamos pagal įrenginio techninius dokumentus</w:t>
      </w:r>
      <w:r>
        <w:t>;</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7.10</w:t>
      </w:r>
      <w:r>
        <w:rPr>
          <w:szCs w:val="24"/>
        </w:rPr>
        <w:t>. įrenginio metalinių konstrukcijų skaičiuojamųjų elementų remontas, naudojant suvirinimą, būtų atliekamas atestuotų ir turinčių kvalifikacijos pažymėjimą (sertifikatą) suvirintoju pagal standartuose nustatyta tvarka parengtus ir patvirtintus suvirinimo</w:t>
      </w:r>
      <w:r>
        <w:rPr>
          <w:i/>
          <w:iCs/>
          <w:szCs w:val="24"/>
        </w:rPr>
        <w:t xml:space="preserve"> </w:t>
      </w:r>
      <w:r>
        <w:rPr>
          <w:szCs w:val="24"/>
        </w:rPr>
        <w:t>procedūrų aprašus. Suvirinimo darbų dokumentai (naudotų medžiagų sąrašas, jų sertifikatai, suvirinimo procedūrų aprašai, suvirintojo atestavimo dokumentų kopijos ir kt.) turi būti saugomi techninių dokumentų byloje;</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7.11</w:t>
      </w:r>
      <w:r>
        <w:rPr>
          <w:szCs w:val="24"/>
        </w:rPr>
        <w:t>. būtų įvykdyti kontrolės institucijų, akredituotosios įstaigos raštiški reikalavimai, susiję su įrenginio naudojimu, priežiūra ar nenaudojamo įrenginio saugojimu (laikymu);</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7.12</w:t>
      </w:r>
      <w:r>
        <w:rPr>
          <w:szCs w:val="24"/>
        </w:rPr>
        <w:t>. būtų pranešta apie įrenginio avariją ir su jo naudojimu susijusius nelaimingus atsitikimus bei žalą aplinkai ar turtui, organizuotas avarijos padarinių lokalizavimas, likvidavimas ir avarijos tyrimas, vadovaujantis</w:t>
      </w:r>
      <w:r>
        <w:rPr>
          <w:b/>
          <w:szCs w:val="24"/>
        </w:rPr>
        <w:t xml:space="preserve"> </w:t>
      </w:r>
      <w:r>
        <w:rPr>
          <w:szCs w:val="24"/>
        </w:rPr>
        <w:t>Potencialiai pavojingų įrenginių avarijų tyrimo nuostatais, patvirtintais Lietuvos Respublikos socialinės apsaugos ir darbo ministro ir Lietuvos Respublikos ūkio ministro 2006 m. rugpjūčio 4 d. įsakymu Nr. A1-232/4-306 „Dėl Potencialiai pavojingų įrenginių avarijų tyrimo nuostatų patvirtinimo“.</w:t>
      </w:r>
    </w:p>
    <w:p>
      <w:pPr>
        <w:tabs>
          <w:tab w:val="left" w:pos="1134"/>
          <w:tab w:val="left" w:pos="1276"/>
          <w:tab w:val="left" w:pos="1418"/>
          <w:tab w:val="left" w:pos="1560"/>
          <w:tab w:val="left" w:pos="1701"/>
          <w:tab w:val="left" w:pos="1843"/>
          <w:tab w:val="left" w:pos="1985"/>
        </w:tabs>
        <w:ind w:firstLine="810"/>
        <w:jc w:val="both"/>
      </w:pPr>
      <w:r>
        <w:t>8</w:t>
      </w:r>
      <w:r>
        <w:t xml:space="preserve">. Atliekant nuolatinę įrenginio priežiūrą turi būti atliekamos visos techniniuose dokumentuose nurodytos techninės priežiūros operacijos ir patikrinimai prieš pradedant naudoti įrenginį ir jo naudojimo metu. Tipinis techninės priežiūros operacijų ir patikrinimų sąrašas pateiktas Taisyklių  priede.</w:t>
      </w:r>
    </w:p>
    <w:p>
      <w:pPr>
        <w:tabs>
          <w:tab w:val="left" w:pos="1134"/>
          <w:tab w:val="left" w:pos="1276"/>
          <w:tab w:val="left" w:pos="1418"/>
          <w:tab w:val="left" w:pos="1560"/>
          <w:tab w:val="left" w:pos="1701"/>
          <w:tab w:val="left" w:pos="1843"/>
          <w:tab w:val="left" w:pos="1985"/>
        </w:tabs>
        <w:jc w:val="both"/>
      </w:pPr>
    </w:p>
    <w:p>
      <w:pPr>
        <w:tabs>
          <w:tab w:val="left" w:pos="1134"/>
          <w:tab w:val="left" w:pos="1276"/>
          <w:tab w:val="left" w:pos="1418"/>
          <w:tab w:val="left" w:pos="1560"/>
          <w:tab w:val="left" w:pos="1701"/>
          <w:tab w:val="left" w:pos="1843"/>
          <w:tab w:val="left" w:pos="1985"/>
        </w:tabs>
        <w:jc w:val="both"/>
      </w:pPr>
    </w:p>
    <w:p>
      <w:pPr>
        <w:tabs>
          <w:tab w:val="left" w:pos="1134"/>
          <w:tab w:val="left" w:pos="1276"/>
          <w:tab w:val="left" w:pos="1418"/>
          <w:tab w:val="left" w:pos="1560"/>
          <w:tab w:val="left" w:pos="1701"/>
          <w:tab w:val="left" w:pos="1843"/>
          <w:tab w:val="left" w:pos="1985"/>
        </w:tabs>
        <w:jc w:val="both"/>
      </w:pPr>
    </w:p>
    <w:p>
      <w:pPr>
        <w:tabs>
          <w:tab w:val="left" w:pos="1134"/>
          <w:tab w:val="left" w:pos="1276"/>
          <w:tab w:val="left" w:pos="1418"/>
          <w:tab w:val="left" w:pos="1560"/>
          <w:tab w:val="left" w:pos="1701"/>
          <w:tab w:val="left" w:pos="1843"/>
          <w:tab w:val="left" w:pos="1985"/>
        </w:tabs>
        <w:jc w:val="both"/>
      </w:pPr>
    </w:p>
    <w:p>
      <w:pPr>
        <w:widowControl w:val="0"/>
        <w:shd w:val="clear" w:color="auto" w:fill="FFFFFF"/>
        <w:jc w:val="center"/>
        <w:rPr>
          <w:b/>
          <w:bCs/>
        </w:rPr>
      </w:pPr>
      <w:r>
        <w:rPr>
          <w:b/>
          <w:bCs/>
        </w:rPr>
        <w:t>III</w:t>
      </w:r>
      <w:r>
        <w:rPr>
          <w:b/>
          <w:bCs/>
        </w:rPr>
        <w:t xml:space="preserve"> SKYRIUS</w:t>
      </w:r>
    </w:p>
    <w:p>
      <w:pPr>
        <w:widowControl w:val="0"/>
        <w:shd w:val="clear" w:color="auto" w:fill="FFFFFF"/>
        <w:jc w:val="center"/>
        <w:rPr>
          <w:b/>
          <w:bCs/>
        </w:rPr>
      </w:pPr>
      <w:r>
        <w:rPr>
          <w:b/>
          <w:bCs/>
        </w:rPr>
        <w:t xml:space="preserve">ĮRENGINIŲ TECHNINĖS BŪKLĖS TIKRINIMAS </w:t>
      </w:r>
    </w:p>
    <w:p>
      <w:pPr>
        <w:widowControl w:val="0"/>
        <w:shd w:val="clear" w:color="auto" w:fill="FFFFFF"/>
        <w:jc w:val="center"/>
        <w:rPr>
          <w:b/>
        </w:rPr>
      </w:pPr>
    </w:p>
    <w:p>
      <w:pPr>
        <w:tabs>
          <w:tab w:val="left" w:pos="1134"/>
          <w:tab w:val="left" w:pos="1276"/>
          <w:tab w:val="left" w:pos="1418"/>
          <w:tab w:val="left" w:pos="1560"/>
          <w:tab w:val="left" w:pos="1701"/>
          <w:tab w:val="left" w:pos="1843"/>
          <w:tab w:val="left" w:pos="1985"/>
        </w:tabs>
        <w:ind w:firstLine="810"/>
        <w:jc w:val="both"/>
      </w:pPr>
      <w:r>
        <w:t>9</w:t>
      </w:r>
      <w:r>
        <w:t xml:space="preserve">. </w:t>
      </w:r>
      <w:r>
        <w:rPr>
          <w:szCs w:val="24"/>
        </w:rPr>
        <w:t xml:space="preserve">Įrenginio savininkas užtikrina, kad Taisyklių 11 punkte nustatytu periodiškumu ir atvejais įrenginys būtų paruoštas akredituotosios įstaigos atliekamam techninės būklės patikrinimui, apie tai pranešta šiai įstaigai, jos darbuotojams būtų sudarytos sutartyje dėl techninės būklės tikrinimo numatytos darbo sąlygos ir pateikti reikalingi dokumentai (techniniai dokumentai, įrenginio priežiūros žurnalas, nuolatinę įrenginio priežiūrą atliekančių darbuotojų skyrimą pareigoms bei jų kvalifikaciją patvirtinantys dokumentai ar jų kopijos, sutarties su priežiūros vykdytoju kopija, jeigu įrenginio savininkas neatlieka jo nuolatinės priežiūros savo jėgomis, </w:t>
      </w:r>
      <w:r>
        <w:rPr>
          <w:color w:val="000000"/>
          <w:szCs w:val="24"/>
        </w:rPr>
        <w:t xml:space="preserve">ir </w:t>
      </w:r>
      <w:r>
        <w:rPr>
          <w:iCs/>
          <w:color w:val="000000"/>
          <w:szCs w:val="24"/>
        </w:rPr>
        <w:t xml:space="preserve">civilinės atsakomybės </w:t>
      </w:r>
      <w:r>
        <w:rPr>
          <w:color w:val="000000"/>
          <w:szCs w:val="24"/>
        </w:rPr>
        <w:t>draudimo sutarties kopija</w:t>
      </w:r>
      <w:r>
        <w:rPr>
          <w:szCs w:val="24"/>
        </w:rPr>
        <w:t>).</w:t>
      </w:r>
      <w:r>
        <w:rPr>
          <w:color w:val="000000"/>
          <w:szCs w:val="24"/>
        </w:rPr>
        <w:t xml:space="preserve"> </w:t>
      </w:r>
      <w:r>
        <w:rPr>
          <w:szCs w:val="24"/>
        </w:rPr>
        <w:t>Akredituotoji įstaiga po patikrinimo dokumentus grąžina įrenginio savininkui.</w:t>
      </w:r>
    </w:p>
    <w:p>
      <w:pPr>
        <w:tabs>
          <w:tab w:val="left" w:pos="1134"/>
          <w:tab w:val="left" w:pos="1276"/>
          <w:tab w:val="left" w:pos="1418"/>
          <w:tab w:val="left" w:pos="1560"/>
          <w:tab w:val="left" w:pos="1701"/>
          <w:tab w:val="left" w:pos="1843"/>
          <w:tab w:val="left" w:pos="1985"/>
        </w:tabs>
        <w:ind w:firstLine="810"/>
        <w:jc w:val="both"/>
      </w:pPr>
      <w:r>
        <w:t>10</w:t>
      </w:r>
      <w:r>
        <w:t xml:space="preserve">. </w:t>
      </w:r>
      <w:r>
        <w:rPr>
          <w:szCs w:val="24"/>
        </w:rPr>
        <w:t>Akredituotosios įstaigos ekspertas įrenginio techninės būklės tikrinimą atlieka pagal akredituotosios įstaigos parengtą ir patvirtintą eskalatorių ir judamųjų takų techninės būklės tikrinimo procedūrą, vadovaudamasis įrenginio techniniais dokumentais ir Taisyklėmis.</w:t>
      </w:r>
    </w:p>
    <w:p>
      <w:pPr>
        <w:tabs>
          <w:tab w:val="left" w:pos="1134"/>
          <w:tab w:val="left" w:pos="1276"/>
          <w:tab w:val="left" w:pos="1418"/>
          <w:tab w:val="left" w:pos="1560"/>
          <w:tab w:val="left" w:pos="1701"/>
          <w:tab w:val="left" w:pos="1843"/>
          <w:tab w:val="left" w:pos="1985"/>
        </w:tabs>
        <w:ind w:firstLine="810"/>
        <w:jc w:val="both"/>
      </w:pPr>
      <w:r>
        <w:t>11</w:t>
      </w:r>
      <w:r>
        <w:t xml:space="preserve">. </w:t>
      </w:r>
      <w:r>
        <w:rPr>
          <w:szCs w:val="24"/>
        </w:rPr>
        <w:t>Jeigu įrenginio gamintojas nenustatė kitaip, techninės būklės tikrinimai turi būti atliekami:</w:t>
      </w:r>
    </w:p>
    <w:p>
      <w:pPr>
        <w:tabs>
          <w:tab w:val="left" w:pos="1134"/>
          <w:tab w:val="left" w:pos="1276"/>
          <w:tab w:val="left" w:pos="1418"/>
          <w:tab w:val="left" w:pos="1560"/>
          <w:tab w:val="left" w:pos="1701"/>
          <w:tab w:val="left" w:pos="1843"/>
          <w:tab w:val="left" w:pos="1985"/>
        </w:tabs>
        <w:ind w:firstLine="810"/>
        <w:jc w:val="both"/>
      </w:pPr>
      <w:r>
        <w:t>11.1</w:t>
      </w:r>
      <w:r>
        <w:t xml:space="preserve">. prieš pradedant </w:t>
      </w:r>
      <w:r>
        <w:rPr>
          <w:szCs w:val="24"/>
        </w:rPr>
        <w:t>įrengin</w:t>
      </w:r>
      <w:r>
        <w:t>į naudoti pirmą kartą;</w:t>
      </w:r>
    </w:p>
    <w:p>
      <w:pPr>
        <w:tabs>
          <w:tab w:val="left" w:pos="1134"/>
          <w:tab w:val="left" w:pos="1276"/>
          <w:tab w:val="left" w:pos="1418"/>
          <w:tab w:val="left" w:pos="1560"/>
          <w:tab w:val="left" w:pos="1701"/>
          <w:tab w:val="left" w:pos="1843"/>
          <w:tab w:val="left" w:pos="1985"/>
        </w:tabs>
        <w:ind w:firstLine="810"/>
        <w:jc w:val="both"/>
      </w:pPr>
      <w:r>
        <w:t>11.2</w:t>
      </w:r>
      <w:r>
        <w:t xml:space="preserve">. periodiškai – </w:t>
      </w:r>
      <w:r>
        <w:rPr>
          <w:szCs w:val="24"/>
        </w:rPr>
        <w:t>ne rečiau kaip vieną kartą per 1</w:t>
      </w:r>
      <w:r>
        <w:t>2 mėnesių;</w:t>
      </w:r>
    </w:p>
    <w:p>
      <w:pPr>
        <w:tabs>
          <w:tab w:val="left" w:pos="1134"/>
          <w:tab w:val="left" w:pos="1276"/>
          <w:tab w:val="left" w:pos="1418"/>
          <w:tab w:val="left" w:pos="1560"/>
          <w:tab w:val="left" w:pos="1701"/>
          <w:tab w:val="left" w:pos="1843"/>
          <w:tab w:val="left" w:pos="1985"/>
        </w:tabs>
        <w:ind w:firstLine="810"/>
        <w:jc w:val="both"/>
      </w:pPr>
      <w:r>
        <w:t>11.3</w:t>
      </w:r>
      <w:r>
        <w:t xml:space="preserve">. </w:t>
      </w:r>
      <w:r>
        <w:rPr>
          <w:color w:val="000000"/>
        </w:rPr>
        <w:t xml:space="preserve">neplaniniais atvejais: </w:t>
      </w:r>
      <w:r>
        <w:t>po avarijos,</w:t>
      </w:r>
      <w:r>
        <w:rPr>
          <w:color w:val="000000"/>
          <w:szCs w:val="24"/>
        </w:rPr>
        <w:t xml:space="preserve"> gamtos reiškinių poveikio, </w:t>
      </w:r>
      <w:r>
        <w:t>remonto, kai keičiama stabdžių, valdymo sistema, laiptų juostos ar kiti elementai, turintys įtakos saugai.</w:t>
      </w:r>
    </w:p>
    <w:p>
      <w:pPr>
        <w:tabs>
          <w:tab w:val="left" w:pos="1134"/>
          <w:tab w:val="left" w:pos="1276"/>
          <w:tab w:val="left" w:pos="1418"/>
          <w:tab w:val="left" w:pos="1560"/>
          <w:tab w:val="left" w:pos="1701"/>
          <w:tab w:val="left" w:pos="1843"/>
          <w:tab w:val="left" w:pos="1985"/>
        </w:tabs>
        <w:ind w:firstLine="810"/>
        <w:jc w:val="both"/>
      </w:pPr>
      <w:r>
        <w:t>12</w:t>
      </w:r>
      <w:r>
        <w:t>. Atliekant įrenginio techninės būklės tikrinimą turi dalyvauti įrenginio priežiūros meistras.</w:t>
      </w:r>
    </w:p>
    <w:p>
      <w:pPr>
        <w:ind w:firstLine="810"/>
        <w:jc w:val="both"/>
        <w:rPr>
          <w:szCs w:val="24"/>
        </w:rPr>
      </w:pPr>
      <w:r>
        <w:rPr>
          <w:szCs w:val="24"/>
        </w:rPr>
        <w:t>13</w:t>
      </w:r>
      <w:r>
        <w:rPr>
          <w:szCs w:val="24"/>
        </w:rPr>
        <w:t>. Akredituotosios</w:t>
      </w:r>
      <w:r>
        <w:rPr>
          <w:color w:val="000000"/>
        </w:rPr>
        <w:t xml:space="preserve"> įstaigos ekspertas, atlikęs </w:t>
      </w:r>
      <w:r>
        <w:rPr>
          <w:rFonts w:ascii="TimesLT" w:hAnsi="TimesLT"/>
          <w:szCs w:val="24"/>
        </w:rPr>
        <w:t xml:space="preserve">įrenginio </w:t>
      </w:r>
      <w:r>
        <w:rPr>
          <w:color w:val="000000"/>
        </w:rPr>
        <w:t xml:space="preserve">techninės būklės tikrinimą </w:t>
      </w:r>
      <w:r>
        <w:rPr>
          <w:szCs w:val="24"/>
        </w:rPr>
        <w:t xml:space="preserve">prieš pradedant jį naudoti pirmą kartą, </w:t>
      </w:r>
      <w:r>
        <w:rPr>
          <w:color w:val="000000"/>
        </w:rPr>
        <w:t xml:space="preserve">parengia jo registravimui PPĮ registre reikalingą </w:t>
      </w:r>
      <w:r>
        <w:rPr>
          <w:rFonts w:ascii="TimesLT" w:hAnsi="TimesLT"/>
          <w:szCs w:val="24"/>
        </w:rPr>
        <w:t xml:space="preserve">įrenginio </w:t>
      </w:r>
      <w:r>
        <w:rPr>
          <w:szCs w:val="24"/>
        </w:rPr>
        <w:t xml:space="preserve">techninių dokumentų išrašą, kurį pateikia </w:t>
      </w:r>
      <w:r>
        <w:rPr>
          <w:rFonts w:ascii="TimesLT" w:hAnsi="TimesLT"/>
          <w:szCs w:val="24"/>
        </w:rPr>
        <w:t xml:space="preserve">įrenginio </w:t>
      </w:r>
      <w:r>
        <w:rPr>
          <w:szCs w:val="24"/>
        </w:rPr>
        <w:t>savininkui</w:t>
      </w:r>
      <w:r>
        <w:rPr>
          <w:color w:val="000000"/>
        </w:rPr>
        <w:t>.</w:t>
      </w:r>
    </w:p>
    <w:p>
      <w:pPr>
        <w:tabs>
          <w:tab w:val="left" w:pos="851"/>
          <w:tab w:val="left" w:pos="993"/>
          <w:tab w:val="left" w:pos="1134"/>
          <w:tab w:val="left" w:pos="1276"/>
          <w:tab w:val="left" w:pos="1418"/>
          <w:tab w:val="left" w:pos="1560"/>
          <w:tab w:val="left" w:pos="1701"/>
          <w:tab w:val="left" w:pos="1843"/>
        </w:tabs>
        <w:ind w:firstLine="810"/>
        <w:jc w:val="both"/>
        <w:rPr>
          <w:szCs w:val="24"/>
        </w:rPr>
      </w:pPr>
      <w:r>
        <w:rPr>
          <w:szCs w:val="24"/>
        </w:rPr>
        <w:t>14</w:t>
      </w:r>
      <w:r>
        <w:rPr>
          <w:szCs w:val="24"/>
        </w:rPr>
        <w:t>. Atlikęs įrenginio techninės būklės tikrinimą, akredituotosios įstaigos ekspertas surašo dviem egzemplioriais tikrinimo išvadą,</w:t>
      </w:r>
      <w:r>
        <w:t xml:space="preserve"> kurioje nurodo,</w:t>
      </w:r>
      <w:r>
        <w:rPr>
          <w:szCs w:val="24"/>
        </w:rPr>
        <w:t xml:space="preserve"> ar įrenginys tinkamas naudoti, </w:t>
      </w:r>
      <w:r>
        <w:t>saugus žmonių gyvybei, sveikatai ir aplinkai,</w:t>
      </w:r>
      <w:r>
        <w:rPr>
          <w:szCs w:val="24"/>
        </w:rPr>
        <w:t xml:space="preserve"> jeigu reikia, nurodo įrenginio saugaus naudojimo sąlygas, taip pat išvadoje nurodo atlikto tikrinimo datą </w:t>
      </w:r>
      <w:r>
        <w:rPr>
          <w:color w:val="000000"/>
          <w:spacing w:val="-2"/>
        </w:rPr>
        <w:t>(metai, mėnuo, diena),</w:t>
      </w:r>
      <w:r>
        <w:rPr>
          <w:szCs w:val="24"/>
        </w:rPr>
        <w:t xml:space="preserve"> tikrinimo veiksmų rezultatus ir sekančio techninės būklės tikrinimo datą </w:t>
      </w:r>
      <w:r>
        <w:rPr>
          <w:color w:val="000000"/>
          <w:spacing w:val="-2"/>
        </w:rPr>
        <w:t>(metai, mėnuo, diena)</w:t>
      </w:r>
      <w:r>
        <w:rPr>
          <w:szCs w:val="24"/>
        </w:rPr>
        <w:t xml:space="preserve">. Įrenginio matomoje vietoje (pvz., ant įrenginio ženklinimo lentelės) ekspertas pritvirtina neištrinamą žymą (lipduką) su sekančio tikrinimo data (metai, mėnuo), taip pat padaro atitinkamą įrašą įrenginio priežiūros žurnale. Vieną išvados egzempliorių saugo įrenginio savininkas, o antrą – akredituotoji įstaiga </w:t>
      </w:r>
      <w:r>
        <w:rPr>
          <w:color w:val="000000"/>
        </w:rPr>
        <w:t>(šis egzempliorius gali būti saugomas skaitmenine forma)</w:t>
      </w:r>
      <w:r>
        <w:rPr>
          <w:szCs w:val="24"/>
        </w:rPr>
        <w:t>. Akredituotosios įstaigos eksperto atliktų įrenginio techninės būklės tikrinimų išvadas įrenginio techninių dokumentų byloje savininkas turi saugoti visą įrenginio naudojimo laiką.</w:t>
      </w:r>
    </w:p>
    <w:p>
      <w:pPr>
        <w:widowControl w:val="0"/>
        <w:shd w:val="clear" w:color="auto" w:fill="FFFFFF"/>
        <w:tabs>
          <w:tab w:val="left" w:pos="851"/>
          <w:tab w:val="left" w:pos="993"/>
          <w:tab w:val="left" w:pos="1134"/>
          <w:tab w:val="left" w:pos="1276"/>
          <w:tab w:val="left" w:pos="1418"/>
          <w:tab w:val="left" w:pos="1560"/>
          <w:tab w:val="left" w:pos="1701"/>
          <w:tab w:val="left" w:pos="1843"/>
        </w:tabs>
        <w:ind w:firstLine="810"/>
        <w:jc w:val="both"/>
        <w:rPr>
          <w:rFonts w:ascii="TimesLT" w:hAnsi="TimesLT"/>
          <w:szCs w:val="24"/>
          <w:lang w:val="en-US"/>
        </w:rPr>
      </w:pPr>
      <w:r>
        <w:rPr>
          <w:rFonts w:ascii="TimesLT" w:hAnsi="TimesLT"/>
          <w:szCs w:val="24"/>
          <w:lang w:val="en-US"/>
        </w:rPr>
        <w:t>15</w:t>
      </w:r>
      <w:r>
        <w:rPr>
          <w:rFonts w:ascii="TimesLT" w:hAnsi="TimesLT"/>
          <w:szCs w:val="24"/>
          <w:lang w:val="en-US"/>
        </w:rPr>
        <w:t xml:space="preserve">. </w:t>
      </w:r>
      <w:r>
        <w:rPr>
          <w:szCs w:val="24"/>
        </w:rPr>
        <w:t xml:space="preserve">Akredituotajai įstaigai nustačius, kad </w:t>
      </w:r>
      <w:r>
        <w:rPr>
          <w:rFonts w:ascii="TimesLT" w:hAnsi="TimesLT"/>
          <w:szCs w:val="24"/>
        </w:rPr>
        <w:t xml:space="preserve">įrenginys </w:t>
      </w:r>
      <w:r>
        <w:rPr>
          <w:szCs w:val="24"/>
        </w:rPr>
        <w:t xml:space="preserve">yra </w:t>
      </w:r>
      <w:r>
        <w:rPr>
          <w:rFonts w:ascii="TimesLT" w:hAnsi="TimesLT"/>
          <w:szCs w:val="24"/>
        </w:rPr>
        <w:t>netinkamas naudoti, nesaugus žmonių gyvybei, sveikatai ar aplinkai</w:t>
      </w:r>
      <w:r>
        <w:rPr>
          <w:szCs w:val="24"/>
        </w:rPr>
        <w:t xml:space="preserve">, </w:t>
      </w:r>
      <w:r>
        <w:rPr>
          <w:rFonts w:ascii="TimesLT" w:hAnsi="TimesLT"/>
          <w:szCs w:val="24"/>
          <w:lang w:val="en-US"/>
        </w:rPr>
        <w:t xml:space="preserve">įrenginio </w:t>
      </w:r>
      <w:r>
        <w:rPr>
          <w:szCs w:val="24"/>
        </w:rPr>
        <w:t xml:space="preserve">savininkas turi nutraukti </w:t>
      </w:r>
      <w:r>
        <w:rPr>
          <w:rFonts w:ascii="TimesLT" w:hAnsi="TimesLT"/>
          <w:szCs w:val="24"/>
          <w:lang w:val="en-US"/>
        </w:rPr>
        <w:t xml:space="preserve">įrenginio </w:t>
      </w:r>
      <w:r>
        <w:rPr>
          <w:szCs w:val="24"/>
        </w:rPr>
        <w:t xml:space="preserve">naudojimą ir </w:t>
      </w:r>
      <w:r>
        <w:rPr>
          <w:rFonts w:ascii="TimesLT" w:hAnsi="TimesLT"/>
          <w:color w:val="000000"/>
        </w:rPr>
        <w:t>užtikrinti, kad nustatyti trūkumai būtų pašalinti</w:t>
      </w:r>
      <w:r>
        <w:rPr>
          <w:szCs w:val="24"/>
        </w:rPr>
        <w:t xml:space="preserve">. Pašalinus trūkumus turi būti </w:t>
      </w:r>
      <w:r>
        <w:rPr>
          <w:rFonts w:ascii="TimesLT" w:hAnsi="TimesLT"/>
          <w:szCs w:val="24"/>
        </w:rPr>
        <w:t>gauta akredituotosios įstaigos išvada, kad įrenginys tinkamas naudoti, saugus žmonių gyvybei, sveikatai ar aplinkai, arba užtikrinti, kad įrenginys būtų sutvarkytas Atliekų tvarkymo įstatymo nustatyta tvarka.</w:t>
      </w:r>
      <w:r>
        <w:rPr>
          <w:rFonts w:ascii="TimesLT" w:hAnsi="TimesLT"/>
          <w:color w:val="000000"/>
        </w:rPr>
        <w:t xml:space="preserve"> </w:t>
      </w:r>
    </w:p>
    <w:p>
      <w:pPr>
        <w:widowControl w:val="0"/>
        <w:shd w:val="clear" w:color="auto" w:fill="FFFFFF"/>
        <w:tabs>
          <w:tab w:val="left" w:pos="851"/>
          <w:tab w:val="left" w:pos="993"/>
          <w:tab w:val="left" w:pos="1134"/>
          <w:tab w:val="left" w:pos="1276"/>
          <w:tab w:val="left" w:pos="1418"/>
          <w:tab w:val="left" w:pos="1560"/>
          <w:tab w:val="left" w:pos="1701"/>
          <w:tab w:val="left" w:pos="1843"/>
        </w:tabs>
        <w:ind w:firstLine="312"/>
        <w:jc w:val="both"/>
        <w:rPr>
          <w:rFonts w:ascii="TimesLT" w:hAnsi="TimesLT"/>
          <w:szCs w:val="24"/>
          <w:lang w:val="en-US"/>
        </w:rPr>
      </w:pPr>
    </w:p>
    <w:p>
      <w:pPr>
        <w:jc w:val="center"/>
        <w:rPr>
          <w:b/>
        </w:rPr>
      </w:pPr>
      <w:r>
        <w:rPr>
          <w:b/>
          <w:bCs/>
        </w:rPr>
        <w:t>IV</w:t>
      </w:r>
      <w:r>
        <w:rPr>
          <w:b/>
          <w:bCs/>
        </w:rPr>
        <w:t xml:space="preserve"> SKYRIUS</w:t>
      </w:r>
    </w:p>
    <w:p>
      <w:pPr>
        <w:jc w:val="center"/>
        <w:rPr>
          <w:b/>
        </w:rPr>
      </w:pPr>
      <w:r>
        <w:rPr>
          <w:b/>
          <w:bCs/>
        </w:rPr>
        <w:t xml:space="preserve">BAIGIAMOSIOS NUOSTATOS </w:t>
      </w:r>
    </w:p>
    <w:p>
      <w:pPr>
        <w:widowControl w:val="0"/>
        <w:shd w:val="clear" w:color="auto" w:fill="FFFFFF"/>
        <w:tabs>
          <w:tab w:val="left" w:pos="851"/>
          <w:tab w:val="left" w:pos="993"/>
          <w:tab w:val="left" w:pos="1134"/>
          <w:tab w:val="left" w:pos="1276"/>
          <w:tab w:val="left" w:pos="1418"/>
          <w:tab w:val="left" w:pos="1560"/>
          <w:tab w:val="left" w:pos="1701"/>
          <w:tab w:val="left" w:pos="1843"/>
        </w:tabs>
        <w:ind w:firstLine="312"/>
        <w:jc w:val="both"/>
        <w:rPr>
          <w:rFonts w:ascii="TimesLT" w:hAnsi="TimesLT"/>
          <w:szCs w:val="24"/>
          <w:lang w:val="en-US"/>
        </w:rPr>
      </w:pPr>
    </w:p>
    <w:p>
      <w:pPr>
        <w:ind w:firstLine="562"/>
        <w:jc w:val="both"/>
        <w:rPr>
          <w:szCs w:val="24"/>
        </w:rPr>
      </w:pPr>
      <w:r>
        <w:rPr>
          <w:szCs w:val="24"/>
        </w:rPr>
        <w:t>16</w:t>
      </w:r>
      <w:r>
        <w:rPr>
          <w:szCs w:val="24"/>
        </w:rPr>
        <w:t>. Dokumentai (įskaitant dokumentus, kuriuose yra asmens duomenų) saugomi Lietuvos Respublikos dokumentų ir archyvų įstatymo nustatyta tvarka, Taisyklėse ir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duomenų valdytojo, į kurį kreipiamasi dėl duomenų subjekto teisių įgyvendinimo, nustatyta tvarka.</w:t>
      </w:r>
    </w:p>
    <w:p>
      <w:pPr>
        <w:jc w:val="center"/>
      </w:pPr>
      <w:r>
        <w:t>______________</w:t>
      </w:r>
    </w:p>
    <w:p>
      <w:pPr>
        <w:ind w:firstLine="5102"/>
        <w:sectPr>
          <w:pgSz w:w="11907" w:h="16839" w:code="9"/>
          <w:pgMar w:top="1699" w:right="562" w:bottom="1138" w:left="1699" w:header="706" w:footer="706" w:gutter="0"/>
          <w:cols w:space="708"/>
          <w:titlePg/>
          <w:docGrid w:linePitch="326"/>
        </w:sectPr>
      </w:pPr>
    </w:p>
    <w:p>
      <w:pPr>
        <w:tabs>
          <w:tab w:val="center" w:pos="4819"/>
          <w:tab w:val="right" w:pos="9638"/>
        </w:tabs>
      </w:pPr>
    </w:p>
    <w:p>
      <w:pPr>
        <w:ind w:left="6480"/>
      </w:pPr>
      <w:r>
        <w:t>Eskalatorių ir judamųjų takų priežiūros taisyklių</w:t>
      </w:r>
    </w:p>
    <w:p>
      <w:pPr>
        <w:widowControl w:val="0"/>
        <w:shd w:val="clear" w:color="auto" w:fill="FFFFFF"/>
        <w:ind w:left="6480"/>
      </w:pPr>
      <w:r>
        <w:t>priedas</w:t>
      </w:r>
    </w:p>
    <w:p>
      <w:pPr>
        <w:ind w:firstLine="709"/>
      </w:pPr>
    </w:p>
    <w:p>
      <w:pPr>
        <w:widowControl w:val="0"/>
        <w:shd w:val="clear" w:color="auto" w:fill="FFFFFF"/>
        <w:jc w:val="center"/>
        <w:rPr>
          <w:b/>
        </w:rPr>
      </w:pPr>
      <w:r>
        <w:rPr>
          <w:b/>
        </w:rPr>
        <w:t>TIPINIS TECHNINĖS PRIEŽIŪROS OPERACIJŲ IR PATIKRINIMŲ SĄRAŠAS</w:t>
      </w:r>
    </w:p>
    <w:p>
      <w:pPr>
        <w:ind w:firstLine="709"/>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5"/>
        <w:gridCol w:w="3060"/>
        <w:gridCol w:w="5952"/>
      </w:tblGrid>
      <w:tr>
        <w:trPr>
          <w:cantSplit/>
          <w:trHeight w:val="23"/>
        </w:trPr>
        <w:tc>
          <w:tcPr>
            <w:tcW w:w="625" w:type="dxa"/>
            <w:shd w:val="clear" w:color="auto" w:fill="FFFFFF"/>
          </w:tcPr>
          <w:p>
            <w:pPr>
              <w:widowControl w:val="0"/>
              <w:shd w:val="clear" w:color="auto" w:fill="FFFFFF"/>
              <w:jc w:val="center"/>
              <w:rPr>
                <w:szCs w:val="24"/>
              </w:rPr>
            </w:pPr>
            <w:r>
              <w:rPr>
                <w:szCs w:val="24"/>
              </w:rPr>
              <w:t>Eil. Nr.</w:t>
            </w:r>
          </w:p>
        </w:tc>
        <w:tc>
          <w:tcPr>
            <w:tcW w:w="3060" w:type="dxa"/>
            <w:shd w:val="clear" w:color="auto" w:fill="FFFFFF"/>
          </w:tcPr>
          <w:p>
            <w:pPr>
              <w:widowControl w:val="0"/>
              <w:shd w:val="clear" w:color="auto" w:fill="FFFFFF"/>
              <w:rPr>
                <w:szCs w:val="24"/>
              </w:rPr>
            </w:pPr>
            <w:r>
              <w:rPr>
                <w:szCs w:val="24"/>
              </w:rPr>
              <w:t>Įrenginio sudėtinė dalis</w:t>
            </w:r>
          </w:p>
        </w:tc>
        <w:tc>
          <w:tcPr>
            <w:tcW w:w="5952" w:type="dxa"/>
            <w:shd w:val="clear" w:color="auto" w:fill="FFFFFF"/>
          </w:tcPr>
          <w:p>
            <w:pPr>
              <w:widowControl w:val="0"/>
              <w:shd w:val="clear" w:color="auto" w:fill="FFFFFF"/>
              <w:rPr>
                <w:szCs w:val="24"/>
              </w:rPr>
            </w:pPr>
            <w:r>
              <w:rPr>
                <w:szCs w:val="24"/>
              </w:rPr>
              <w:t>Techninės priežiūros operacijų ir patikrinimų turinys</w:t>
            </w:r>
          </w:p>
        </w:tc>
      </w:tr>
      <w:tr>
        <w:trPr>
          <w:cantSplit/>
          <w:trHeight w:val="23"/>
        </w:trPr>
        <w:tc>
          <w:tcPr>
            <w:tcW w:w="625" w:type="dxa"/>
            <w:shd w:val="clear" w:color="auto" w:fill="FFFFFF"/>
          </w:tcPr>
          <w:p>
            <w:pPr>
              <w:widowControl w:val="0"/>
              <w:shd w:val="clear" w:color="auto" w:fill="FFFFFF"/>
              <w:jc w:val="center"/>
              <w:rPr>
                <w:szCs w:val="24"/>
              </w:rPr>
            </w:pPr>
            <w:r>
              <w:rPr>
                <w:szCs w:val="24"/>
              </w:rPr>
              <w:t>1.</w:t>
            </w:r>
          </w:p>
        </w:tc>
        <w:tc>
          <w:tcPr>
            <w:tcW w:w="3060" w:type="dxa"/>
            <w:shd w:val="clear" w:color="auto" w:fill="FFFFFF"/>
          </w:tcPr>
          <w:p>
            <w:pPr>
              <w:widowControl w:val="0"/>
              <w:shd w:val="clear" w:color="auto" w:fill="FFFFFF"/>
              <w:rPr>
                <w:szCs w:val="24"/>
              </w:rPr>
            </w:pPr>
            <w:r>
              <w:rPr>
                <w:szCs w:val="24"/>
              </w:rPr>
              <w:t>Valdiklis</w:t>
            </w:r>
          </w:p>
        </w:tc>
        <w:tc>
          <w:tcPr>
            <w:tcW w:w="5952" w:type="dxa"/>
            <w:shd w:val="clear" w:color="auto" w:fill="FFFFFF"/>
          </w:tcPr>
          <w:p>
            <w:pPr>
              <w:widowControl w:val="0"/>
              <w:shd w:val="clear" w:color="auto" w:fill="FFFFFF"/>
              <w:rPr>
                <w:szCs w:val="24"/>
              </w:rPr>
            </w:pPr>
            <w:r>
              <w:rPr>
                <w:szCs w:val="24"/>
              </w:rPr>
              <w:t>Tikrinti, ar spinta yra švari, sausa ir nedulkėta</w:t>
            </w:r>
          </w:p>
        </w:tc>
      </w:tr>
      <w:tr>
        <w:trPr>
          <w:cantSplit/>
          <w:trHeight w:val="23"/>
        </w:trPr>
        <w:tc>
          <w:tcPr>
            <w:tcW w:w="625" w:type="dxa"/>
            <w:shd w:val="clear" w:color="auto" w:fill="FFFFFF"/>
          </w:tcPr>
          <w:p>
            <w:pPr>
              <w:widowControl w:val="0"/>
              <w:shd w:val="clear" w:color="auto" w:fill="FFFFFF"/>
              <w:jc w:val="center"/>
              <w:rPr>
                <w:szCs w:val="24"/>
              </w:rPr>
            </w:pPr>
            <w:r>
              <w:rPr>
                <w:szCs w:val="24"/>
              </w:rPr>
              <w:t>2.</w:t>
            </w:r>
          </w:p>
        </w:tc>
        <w:tc>
          <w:tcPr>
            <w:tcW w:w="3060" w:type="dxa"/>
            <w:shd w:val="clear" w:color="auto" w:fill="FFFFFF"/>
          </w:tcPr>
          <w:p>
            <w:pPr>
              <w:widowControl w:val="0"/>
              <w:shd w:val="clear" w:color="auto" w:fill="FFFFFF"/>
              <w:rPr>
                <w:szCs w:val="24"/>
              </w:rPr>
            </w:pPr>
            <w:r>
              <w:rPr>
                <w:szCs w:val="24"/>
              </w:rPr>
              <w:t>Pavarų dėžė</w:t>
            </w:r>
          </w:p>
        </w:tc>
        <w:tc>
          <w:tcPr>
            <w:tcW w:w="5952" w:type="dxa"/>
            <w:shd w:val="clear" w:color="auto" w:fill="FFFFFF"/>
          </w:tcPr>
          <w:p>
            <w:pPr>
              <w:widowControl w:val="0"/>
              <w:shd w:val="clear" w:color="auto" w:fill="FFFFFF"/>
              <w:rPr>
                <w:szCs w:val="24"/>
              </w:rPr>
            </w:pPr>
            <w:r>
              <w:rPr>
                <w:szCs w:val="24"/>
              </w:rPr>
              <w:t>Tikrinti pavaros mechanizmą ir susijusias dalis ir jų sutepimą</w:t>
            </w:r>
          </w:p>
        </w:tc>
      </w:tr>
      <w:tr>
        <w:trPr>
          <w:cantSplit/>
          <w:trHeight w:val="23"/>
        </w:trPr>
        <w:tc>
          <w:tcPr>
            <w:tcW w:w="625" w:type="dxa"/>
            <w:shd w:val="clear" w:color="auto" w:fill="FFFFFF"/>
          </w:tcPr>
          <w:p>
            <w:pPr>
              <w:widowControl w:val="0"/>
              <w:shd w:val="clear" w:color="auto" w:fill="FFFFFF"/>
              <w:jc w:val="center"/>
              <w:rPr>
                <w:szCs w:val="24"/>
              </w:rPr>
            </w:pPr>
            <w:r>
              <w:rPr>
                <w:szCs w:val="24"/>
              </w:rPr>
              <w:t>3.</w:t>
            </w:r>
          </w:p>
        </w:tc>
        <w:tc>
          <w:tcPr>
            <w:tcW w:w="3060" w:type="dxa"/>
            <w:shd w:val="clear" w:color="auto" w:fill="FFFFFF"/>
          </w:tcPr>
          <w:p>
            <w:pPr>
              <w:widowControl w:val="0"/>
              <w:shd w:val="clear" w:color="auto" w:fill="FFFFFF"/>
              <w:rPr>
                <w:szCs w:val="24"/>
              </w:rPr>
            </w:pPr>
            <w:r>
              <w:rPr>
                <w:szCs w:val="24"/>
              </w:rPr>
              <w:t>Pavaros variklis</w:t>
            </w:r>
          </w:p>
        </w:tc>
        <w:tc>
          <w:tcPr>
            <w:tcW w:w="5952" w:type="dxa"/>
            <w:shd w:val="clear" w:color="auto" w:fill="FFFFFF"/>
          </w:tcPr>
          <w:p>
            <w:pPr>
              <w:widowControl w:val="0"/>
              <w:shd w:val="clear" w:color="auto" w:fill="FFFFFF"/>
              <w:rPr>
                <w:szCs w:val="24"/>
              </w:rPr>
            </w:pPr>
            <w:r>
              <w:rPr>
                <w:szCs w:val="24"/>
              </w:rPr>
              <w:t>Tikrinti guolių nusidėvėjimą bei jų sutepimą</w:t>
            </w:r>
          </w:p>
        </w:tc>
      </w:tr>
      <w:tr>
        <w:trPr>
          <w:cantSplit/>
          <w:trHeight w:val="23"/>
        </w:trPr>
        <w:tc>
          <w:tcPr>
            <w:tcW w:w="625" w:type="dxa"/>
            <w:shd w:val="clear" w:color="auto" w:fill="FFFFFF"/>
          </w:tcPr>
          <w:p>
            <w:pPr>
              <w:widowControl w:val="0"/>
              <w:shd w:val="clear" w:color="auto" w:fill="FFFFFF"/>
              <w:jc w:val="center"/>
              <w:rPr>
                <w:szCs w:val="24"/>
              </w:rPr>
            </w:pPr>
            <w:r>
              <w:rPr>
                <w:szCs w:val="24"/>
              </w:rPr>
              <w:t>4.</w:t>
            </w:r>
          </w:p>
        </w:tc>
        <w:tc>
          <w:tcPr>
            <w:tcW w:w="3060" w:type="dxa"/>
            <w:shd w:val="clear" w:color="auto" w:fill="FFFFFF"/>
          </w:tcPr>
          <w:p>
            <w:pPr>
              <w:widowControl w:val="0"/>
              <w:shd w:val="clear" w:color="auto" w:fill="FFFFFF"/>
              <w:rPr>
                <w:szCs w:val="24"/>
              </w:rPr>
            </w:pPr>
            <w:r>
              <w:rPr>
                <w:szCs w:val="24"/>
              </w:rPr>
              <w:t>Stabdžiai</w:t>
            </w:r>
          </w:p>
        </w:tc>
        <w:tc>
          <w:tcPr>
            <w:tcW w:w="5952" w:type="dxa"/>
            <w:shd w:val="clear" w:color="auto" w:fill="FFFFFF"/>
          </w:tcPr>
          <w:p>
            <w:pPr>
              <w:widowControl w:val="0"/>
              <w:shd w:val="clear" w:color="auto" w:fill="FFFFFF"/>
              <w:rPr>
                <w:szCs w:val="24"/>
              </w:rPr>
            </w:pPr>
            <w:r>
              <w:rPr>
                <w:szCs w:val="24"/>
              </w:rPr>
              <w:t>Tikrinti stabdžių sistemą ir jos dalių nusidėvėjimą</w:t>
            </w:r>
          </w:p>
        </w:tc>
      </w:tr>
      <w:tr>
        <w:trPr>
          <w:cantSplit/>
          <w:trHeight w:val="23"/>
        </w:trPr>
        <w:tc>
          <w:tcPr>
            <w:tcW w:w="625" w:type="dxa"/>
            <w:shd w:val="clear" w:color="auto" w:fill="FFFFFF"/>
          </w:tcPr>
          <w:p>
            <w:pPr>
              <w:widowControl w:val="0"/>
              <w:shd w:val="clear" w:color="auto" w:fill="FFFFFF"/>
              <w:jc w:val="center"/>
              <w:rPr>
                <w:szCs w:val="24"/>
              </w:rPr>
            </w:pPr>
            <w:r>
              <w:rPr>
                <w:szCs w:val="24"/>
              </w:rPr>
              <w:t>5.</w:t>
            </w:r>
          </w:p>
        </w:tc>
        <w:tc>
          <w:tcPr>
            <w:tcW w:w="3060" w:type="dxa"/>
            <w:shd w:val="clear" w:color="auto" w:fill="FFFFFF"/>
          </w:tcPr>
          <w:p>
            <w:pPr>
              <w:widowControl w:val="0"/>
              <w:shd w:val="clear" w:color="auto" w:fill="FFFFFF"/>
              <w:rPr>
                <w:szCs w:val="24"/>
              </w:rPr>
            </w:pPr>
            <w:r>
              <w:rPr>
                <w:szCs w:val="24"/>
              </w:rPr>
              <w:t>Pagalbiniai stabdžiai</w:t>
            </w:r>
          </w:p>
        </w:tc>
        <w:tc>
          <w:tcPr>
            <w:tcW w:w="5952" w:type="dxa"/>
            <w:shd w:val="clear" w:color="auto" w:fill="FFFFFF"/>
          </w:tcPr>
          <w:p>
            <w:pPr>
              <w:widowControl w:val="0"/>
              <w:shd w:val="clear" w:color="auto" w:fill="FFFFFF"/>
              <w:rPr>
                <w:szCs w:val="24"/>
              </w:rPr>
            </w:pPr>
            <w:r>
              <w:rPr>
                <w:szCs w:val="24"/>
              </w:rPr>
              <w:t>Tikrinti pagalbinių stabdžių sistemą ir jos dalių nusidėvėjimą</w:t>
            </w:r>
          </w:p>
        </w:tc>
      </w:tr>
      <w:tr>
        <w:trPr>
          <w:cantSplit/>
          <w:trHeight w:val="23"/>
        </w:trPr>
        <w:tc>
          <w:tcPr>
            <w:tcW w:w="625" w:type="dxa"/>
            <w:shd w:val="clear" w:color="auto" w:fill="FFFFFF"/>
          </w:tcPr>
          <w:p>
            <w:pPr>
              <w:widowControl w:val="0"/>
              <w:shd w:val="clear" w:color="auto" w:fill="FFFFFF"/>
              <w:jc w:val="center"/>
              <w:rPr>
                <w:szCs w:val="24"/>
              </w:rPr>
            </w:pPr>
            <w:r>
              <w:rPr>
                <w:szCs w:val="24"/>
              </w:rPr>
              <w:t>6.</w:t>
            </w:r>
          </w:p>
        </w:tc>
        <w:tc>
          <w:tcPr>
            <w:tcW w:w="3060" w:type="dxa"/>
            <w:shd w:val="clear" w:color="auto" w:fill="FFFFFF"/>
          </w:tcPr>
          <w:p>
            <w:pPr>
              <w:widowControl w:val="0"/>
              <w:shd w:val="clear" w:color="auto" w:fill="FFFFFF"/>
              <w:rPr>
                <w:szCs w:val="24"/>
              </w:rPr>
            </w:pPr>
            <w:r>
              <w:rPr>
                <w:szCs w:val="24"/>
              </w:rPr>
              <w:t>Tarpinės pavarų dėžės</w:t>
            </w:r>
          </w:p>
        </w:tc>
        <w:tc>
          <w:tcPr>
            <w:tcW w:w="5952" w:type="dxa"/>
            <w:shd w:val="clear" w:color="auto" w:fill="FFFFFF"/>
          </w:tcPr>
          <w:p>
            <w:pPr>
              <w:widowControl w:val="0"/>
              <w:shd w:val="clear" w:color="auto" w:fill="FFFFFF"/>
              <w:rPr>
                <w:szCs w:val="24"/>
              </w:rPr>
            </w:pPr>
            <w:r>
              <w:rPr>
                <w:szCs w:val="24"/>
              </w:rPr>
              <w:t>Tikrinti pavarų mechanizmus ir susijusias dalis bei jų sutepimą</w:t>
            </w:r>
          </w:p>
        </w:tc>
      </w:tr>
      <w:tr>
        <w:trPr>
          <w:cantSplit/>
          <w:trHeight w:val="23"/>
        </w:trPr>
        <w:tc>
          <w:tcPr>
            <w:tcW w:w="625" w:type="dxa"/>
            <w:shd w:val="clear" w:color="auto" w:fill="FFFFFF"/>
          </w:tcPr>
          <w:p>
            <w:pPr>
              <w:widowControl w:val="0"/>
              <w:shd w:val="clear" w:color="auto" w:fill="FFFFFF"/>
              <w:jc w:val="center"/>
              <w:rPr>
                <w:szCs w:val="24"/>
              </w:rPr>
            </w:pPr>
            <w:r>
              <w:rPr>
                <w:szCs w:val="24"/>
              </w:rPr>
              <w:t>7.</w:t>
            </w:r>
          </w:p>
        </w:tc>
        <w:tc>
          <w:tcPr>
            <w:tcW w:w="3060" w:type="dxa"/>
            <w:shd w:val="clear" w:color="auto" w:fill="FFFFFF"/>
          </w:tcPr>
          <w:p>
            <w:pPr>
              <w:widowControl w:val="0"/>
              <w:shd w:val="clear" w:color="auto" w:fill="FFFFFF"/>
              <w:rPr>
                <w:szCs w:val="24"/>
              </w:rPr>
            </w:pPr>
            <w:r>
              <w:rPr>
                <w:szCs w:val="24"/>
              </w:rPr>
              <w:t>Pagrindinė pavaros grandinė</w:t>
            </w:r>
          </w:p>
        </w:tc>
        <w:tc>
          <w:tcPr>
            <w:tcW w:w="5952" w:type="dxa"/>
            <w:shd w:val="clear" w:color="auto" w:fill="FFFFFF"/>
          </w:tcPr>
          <w:p>
            <w:pPr>
              <w:widowControl w:val="0"/>
              <w:shd w:val="clear" w:color="auto" w:fill="FFFFFF"/>
              <w:rPr>
                <w:szCs w:val="24"/>
              </w:rPr>
            </w:pPr>
            <w:r>
              <w:rPr>
                <w:szCs w:val="24"/>
              </w:rPr>
              <w:t>Tikrinti įtempimą, dalių nusidėvėjimą ir sutepimą</w:t>
            </w:r>
          </w:p>
        </w:tc>
      </w:tr>
      <w:tr>
        <w:trPr>
          <w:cantSplit/>
          <w:trHeight w:val="23"/>
        </w:trPr>
        <w:tc>
          <w:tcPr>
            <w:tcW w:w="625" w:type="dxa"/>
            <w:shd w:val="clear" w:color="auto" w:fill="FFFFFF"/>
          </w:tcPr>
          <w:p>
            <w:pPr>
              <w:widowControl w:val="0"/>
              <w:shd w:val="clear" w:color="auto" w:fill="FFFFFF"/>
              <w:jc w:val="center"/>
              <w:rPr>
                <w:szCs w:val="24"/>
              </w:rPr>
            </w:pPr>
            <w:r>
              <w:rPr>
                <w:szCs w:val="24"/>
              </w:rPr>
              <w:t>8.</w:t>
            </w:r>
          </w:p>
        </w:tc>
        <w:tc>
          <w:tcPr>
            <w:tcW w:w="3060" w:type="dxa"/>
            <w:shd w:val="clear" w:color="auto" w:fill="FFFFFF"/>
          </w:tcPr>
          <w:p>
            <w:pPr>
              <w:widowControl w:val="0"/>
              <w:shd w:val="clear" w:color="auto" w:fill="FFFFFF"/>
              <w:rPr>
                <w:szCs w:val="24"/>
              </w:rPr>
            </w:pPr>
            <w:r>
              <w:rPr>
                <w:szCs w:val="24"/>
              </w:rPr>
              <w:t>Pakopų/plokščių grandinė</w:t>
            </w:r>
          </w:p>
        </w:tc>
        <w:tc>
          <w:tcPr>
            <w:tcW w:w="5952" w:type="dxa"/>
            <w:shd w:val="clear" w:color="auto" w:fill="FFFFFF"/>
          </w:tcPr>
          <w:p>
            <w:pPr>
              <w:widowControl w:val="0"/>
              <w:shd w:val="clear" w:color="auto" w:fill="FFFFFF"/>
              <w:rPr>
                <w:szCs w:val="24"/>
              </w:rPr>
            </w:pPr>
            <w:r>
              <w:rPr>
                <w:szCs w:val="24"/>
              </w:rPr>
              <w:t>Tikrinti įtempimą, dalių nusidėvėjimą ir sutepimą</w:t>
            </w:r>
          </w:p>
        </w:tc>
      </w:tr>
      <w:tr>
        <w:trPr>
          <w:cantSplit/>
          <w:trHeight w:val="23"/>
        </w:trPr>
        <w:tc>
          <w:tcPr>
            <w:tcW w:w="625" w:type="dxa"/>
            <w:shd w:val="clear" w:color="auto" w:fill="FFFFFF"/>
          </w:tcPr>
          <w:p>
            <w:pPr>
              <w:widowControl w:val="0"/>
              <w:shd w:val="clear" w:color="auto" w:fill="FFFFFF"/>
              <w:jc w:val="center"/>
              <w:rPr>
                <w:szCs w:val="24"/>
              </w:rPr>
            </w:pPr>
            <w:r>
              <w:rPr>
                <w:szCs w:val="24"/>
              </w:rPr>
              <w:t>9.</w:t>
            </w:r>
          </w:p>
        </w:tc>
        <w:tc>
          <w:tcPr>
            <w:tcW w:w="3060" w:type="dxa"/>
            <w:shd w:val="clear" w:color="auto" w:fill="FFFFFF"/>
          </w:tcPr>
          <w:p>
            <w:pPr>
              <w:widowControl w:val="0"/>
              <w:shd w:val="clear" w:color="auto" w:fill="FFFFFF"/>
              <w:rPr>
                <w:szCs w:val="24"/>
              </w:rPr>
            </w:pPr>
            <w:r>
              <w:rPr>
                <w:szCs w:val="24"/>
              </w:rPr>
              <w:t>Pakopa/ plokštė</w:t>
            </w:r>
          </w:p>
        </w:tc>
        <w:tc>
          <w:tcPr>
            <w:tcW w:w="5952" w:type="dxa"/>
            <w:shd w:val="clear" w:color="auto" w:fill="FFFFFF"/>
          </w:tcPr>
          <w:p>
            <w:pPr>
              <w:widowControl w:val="0"/>
              <w:shd w:val="clear" w:color="auto" w:fill="FFFFFF"/>
              <w:rPr>
                <w:szCs w:val="24"/>
              </w:rPr>
            </w:pPr>
            <w:r>
              <w:rPr>
                <w:szCs w:val="24"/>
              </w:rPr>
              <w:t>Tikrinti pakopų/plokščių ir pakopų/plokščių ritinėlių vientisumą ir jų veikimą</w:t>
            </w:r>
          </w:p>
        </w:tc>
      </w:tr>
      <w:tr>
        <w:trPr>
          <w:cantSplit/>
          <w:trHeight w:val="23"/>
        </w:trPr>
        <w:tc>
          <w:tcPr>
            <w:tcW w:w="625" w:type="dxa"/>
            <w:shd w:val="clear" w:color="auto" w:fill="FFFFFF"/>
          </w:tcPr>
          <w:p>
            <w:pPr>
              <w:widowControl w:val="0"/>
              <w:shd w:val="clear" w:color="auto" w:fill="FFFFFF"/>
              <w:jc w:val="center"/>
              <w:rPr>
                <w:szCs w:val="24"/>
              </w:rPr>
            </w:pPr>
            <w:r>
              <w:rPr>
                <w:szCs w:val="24"/>
              </w:rPr>
              <w:t>10.</w:t>
            </w:r>
          </w:p>
        </w:tc>
        <w:tc>
          <w:tcPr>
            <w:tcW w:w="3060" w:type="dxa"/>
            <w:shd w:val="clear" w:color="auto" w:fill="FFFFFF"/>
          </w:tcPr>
          <w:p>
            <w:pPr>
              <w:widowControl w:val="0"/>
              <w:shd w:val="clear" w:color="auto" w:fill="FFFFFF"/>
              <w:rPr>
                <w:szCs w:val="24"/>
              </w:rPr>
            </w:pPr>
            <w:r>
              <w:rPr>
                <w:szCs w:val="24"/>
              </w:rPr>
              <w:t>Judamojo tako juosta</w:t>
            </w:r>
          </w:p>
        </w:tc>
        <w:tc>
          <w:tcPr>
            <w:tcW w:w="5952" w:type="dxa"/>
            <w:shd w:val="clear" w:color="auto" w:fill="FFFFFF"/>
          </w:tcPr>
          <w:p>
            <w:pPr>
              <w:widowControl w:val="0"/>
              <w:shd w:val="clear" w:color="auto" w:fill="FFFFFF"/>
              <w:rPr>
                <w:szCs w:val="24"/>
              </w:rPr>
            </w:pPr>
            <w:r>
              <w:rPr>
                <w:szCs w:val="24"/>
              </w:rPr>
              <w:t>Tikrinti būklę ir įtempimą</w:t>
            </w:r>
          </w:p>
        </w:tc>
      </w:tr>
      <w:tr>
        <w:trPr>
          <w:cantSplit/>
          <w:trHeight w:val="23"/>
        </w:trPr>
        <w:tc>
          <w:tcPr>
            <w:tcW w:w="625" w:type="dxa"/>
            <w:shd w:val="clear" w:color="auto" w:fill="FFFFFF"/>
          </w:tcPr>
          <w:p>
            <w:pPr>
              <w:widowControl w:val="0"/>
              <w:shd w:val="clear" w:color="auto" w:fill="FFFFFF"/>
              <w:jc w:val="center"/>
              <w:rPr>
                <w:szCs w:val="24"/>
              </w:rPr>
            </w:pPr>
            <w:r>
              <w:rPr>
                <w:szCs w:val="24"/>
              </w:rPr>
              <w:t>11.</w:t>
            </w:r>
          </w:p>
        </w:tc>
        <w:tc>
          <w:tcPr>
            <w:tcW w:w="3060" w:type="dxa"/>
            <w:shd w:val="clear" w:color="auto" w:fill="FFFFFF"/>
          </w:tcPr>
          <w:p>
            <w:pPr>
              <w:widowControl w:val="0"/>
              <w:shd w:val="clear" w:color="auto" w:fill="FFFFFF"/>
              <w:rPr>
                <w:szCs w:val="24"/>
              </w:rPr>
            </w:pPr>
            <w:r>
              <w:rPr>
                <w:szCs w:val="24"/>
              </w:rPr>
              <w:t>Pavaros diržas</w:t>
            </w:r>
          </w:p>
        </w:tc>
        <w:tc>
          <w:tcPr>
            <w:tcW w:w="5952" w:type="dxa"/>
            <w:shd w:val="clear" w:color="auto" w:fill="FFFFFF"/>
          </w:tcPr>
          <w:p>
            <w:pPr>
              <w:widowControl w:val="0"/>
              <w:shd w:val="clear" w:color="auto" w:fill="FFFFFF"/>
              <w:rPr>
                <w:szCs w:val="24"/>
              </w:rPr>
            </w:pPr>
            <w:r>
              <w:rPr>
                <w:szCs w:val="24"/>
              </w:rPr>
              <w:t>Tikrinti būklę ir įtempimą</w:t>
            </w:r>
          </w:p>
        </w:tc>
      </w:tr>
      <w:tr>
        <w:trPr>
          <w:cantSplit/>
          <w:trHeight w:val="23"/>
        </w:trPr>
        <w:tc>
          <w:tcPr>
            <w:tcW w:w="625" w:type="dxa"/>
            <w:shd w:val="clear" w:color="auto" w:fill="FFFFFF"/>
          </w:tcPr>
          <w:p>
            <w:pPr>
              <w:widowControl w:val="0"/>
              <w:shd w:val="clear" w:color="auto" w:fill="FFFFFF"/>
              <w:jc w:val="center"/>
              <w:rPr>
                <w:szCs w:val="24"/>
              </w:rPr>
            </w:pPr>
            <w:r>
              <w:rPr>
                <w:szCs w:val="24"/>
              </w:rPr>
              <w:t>12.</w:t>
            </w:r>
          </w:p>
        </w:tc>
        <w:tc>
          <w:tcPr>
            <w:tcW w:w="3060" w:type="dxa"/>
            <w:shd w:val="clear" w:color="auto" w:fill="FFFFFF"/>
          </w:tcPr>
          <w:p>
            <w:pPr>
              <w:widowControl w:val="0"/>
              <w:shd w:val="clear" w:color="auto" w:fill="FFFFFF"/>
              <w:rPr>
                <w:szCs w:val="24"/>
              </w:rPr>
            </w:pPr>
            <w:r>
              <w:rPr>
                <w:szCs w:val="24"/>
              </w:rPr>
              <w:t>Tarpeliai</w:t>
            </w:r>
          </w:p>
        </w:tc>
        <w:tc>
          <w:tcPr>
            <w:tcW w:w="5952" w:type="dxa"/>
            <w:shd w:val="clear" w:color="auto" w:fill="FFFFFF"/>
          </w:tcPr>
          <w:p>
            <w:pPr>
              <w:widowControl w:val="0"/>
              <w:shd w:val="clear" w:color="auto" w:fill="FFFFFF"/>
              <w:rPr>
                <w:szCs w:val="24"/>
              </w:rPr>
            </w:pPr>
            <w:r>
              <w:rPr>
                <w:szCs w:val="24"/>
              </w:rPr>
              <w:t>Tikrinti tarpus tarp pakopų ir tarp pakopos ir apsauginio apvado</w:t>
            </w:r>
          </w:p>
        </w:tc>
      </w:tr>
      <w:tr>
        <w:trPr>
          <w:cantSplit/>
          <w:trHeight w:val="23"/>
        </w:trPr>
        <w:tc>
          <w:tcPr>
            <w:tcW w:w="625" w:type="dxa"/>
            <w:shd w:val="clear" w:color="auto" w:fill="FFFFFF"/>
          </w:tcPr>
          <w:p>
            <w:pPr>
              <w:widowControl w:val="0"/>
              <w:shd w:val="clear" w:color="auto" w:fill="FFFFFF"/>
              <w:jc w:val="center"/>
              <w:rPr>
                <w:szCs w:val="24"/>
              </w:rPr>
            </w:pPr>
            <w:r>
              <w:rPr>
                <w:szCs w:val="24"/>
              </w:rPr>
              <w:t>13.</w:t>
            </w:r>
          </w:p>
        </w:tc>
        <w:tc>
          <w:tcPr>
            <w:tcW w:w="3060" w:type="dxa"/>
            <w:shd w:val="clear" w:color="auto" w:fill="FFFFFF"/>
          </w:tcPr>
          <w:p>
            <w:pPr>
              <w:widowControl w:val="0"/>
              <w:shd w:val="clear" w:color="auto" w:fill="FFFFFF"/>
              <w:rPr>
                <w:szCs w:val="24"/>
              </w:rPr>
            </w:pPr>
            <w:r>
              <w:rPr>
                <w:szCs w:val="24"/>
              </w:rPr>
              <w:t>Šukiniai sujungimai</w:t>
            </w:r>
          </w:p>
        </w:tc>
        <w:tc>
          <w:tcPr>
            <w:tcW w:w="5952" w:type="dxa"/>
            <w:shd w:val="clear" w:color="auto" w:fill="FFFFFF"/>
          </w:tcPr>
          <w:p>
            <w:pPr>
              <w:widowControl w:val="0"/>
              <w:shd w:val="clear" w:color="auto" w:fill="FFFFFF"/>
              <w:rPr>
                <w:szCs w:val="24"/>
              </w:rPr>
            </w:pPr>
            <w:r>
              <w:rPr>
                <w:szCs w:val="24"/>
              </w:rPr>
              <w:t>Tikrinti būklę, jų susinėrimą su pakopomis, plokštėmis arba juosta</w:t>
            </w:r>
          </w:p>
        </w:tc>
      </w:tr>
      <w:tr>
        <w:trPr>
          <w:cantSplit/>
          <w:trHeight w:val="23"/>
        </w:trPr>
        <w:tc>
          <w:tcPr>
            <w:tcW w:w="625" w:type="dxa"/>
            <w:shd w:val="clear" w:color="auto" w:fill="FFFFFF"/>
          </w:tcPr>
          <w:p>
            <w:pPr>
              <w:widowControl w:val="0"/>
              <w:shd w:val="clear" w:color="auto" w:fill="FFFFFF"/>
              <w:jc w:val="center"/>
              <w:rPr>
                <w:szCs w:val="24"/>
              </w:rPr>
            </w:pPr>
            <w:r>
              <w:rPr>
                <w:szCs w:val="24"/>
              </w:rPr>
              <w:t>14.</w:t>
            </w:r>
          </w:p>
        </w:tc>
        <w:tc>
          <w:tcPr>
            <w:tcW w:w="3060" w:type="dxa"/>
            <w:shd w:val="clear" w:color="auto" w:fill="FFFFFF"/>
          </w:tcPr>
          <w:p>
            <w:pPr>
              <w:widowControl w:val="0"/>
              <w:shd w:val="clear" w:color="auto" w:fill="FFFFFF"/>
              <w:rPr>
                <w:szCs w:val="24"/>
              </w:rPr>
            </w:pPr>
            <w:r>
              <w:rPr>
                <w:szCs w:val="24"/>
              </w:rPr>
              <w:t>Šukinė plokštė</w:t>
            </w:r>
          </w:p>
        </w:tc>
        <w:tc>
          <w:tcPr>
            <w:tcW w:w="5952" w:type="dxa"/>
            <w:shd w:val="clear" w:color="auto" w:fill="FFFFFF"/>
          </w:tcPr>
          <w:p>
            <w:pPr>
              <w:widowControl w:val="0"/>
              <w:shd w:val="clear" w:color="auto" w:fill="FFFFFF"/>
              <w:rPr>
                <w:szCs w:val="24"/>
              </w:rPr>
            </w:pPr>
            <w:r>
              <w:rPr>
                <w:szCs w:val="24"/>
              </w:rPr>
              <w:t>Tikrinti tarpus ir veikimą</w:t>
            </w:r>
          </w:p>
        </w:tc>
      </w:tr>
      <w:tr>
        <w:trPr>
          <w:cantSplit/>
          <w:trHeight w:val="23"/>
        </w:trPr>
        <w:tc>
          <w:tcPr>
            <w:tcW w:w="625" w:type="dxa"/>
            <w:shd w:val="clear" w:color="auto" w:fill="FFFFFF"/>
          </w:tcPr>
          <w:p>
            <w:pPr>
              <w:widowControl w:val="0"/>
              <w:shd w:val="clear" w:color="auto" w:fill="FFFFFF"/>
              <w:jc w:val="center"/>
              <w:rPr>
                <w:szCs w:val="24"/>
              </w:rPr>
            </w:pPr>
            <w:r>
              <w:rPr>
                <w:szCs w:val="24"/>
              </w:rPr>
              <w:t>15.</w:t>
            </w:r>
          </w:p>
        </w:tc>
        <w:tc>
          <w:tcPr>
            <w:tcW w:w="3060" w:type="dxa"/>
            <w:shd w:val="clear" w:color="auto" w:fill="FFFFFF"/>
          </w:tcPr>
          <w:p>
            <w:pPr>
              <w:widowControl w:val="0"/>
              <w:shd w:val="clear" w:color="auto" w:fill="FFFFFF"/>
              <w:rPr>
                <w:szCs w:val="24"/>
              </w:rPr>
            </w:pPr>
            <w:r>
              <w:rPr>
                <w:szCs w:val="24"/>
              </w:rPr>
              <w:t>Turėklai</w:t>
            </w:r>
          </w:p>
        </w:tc>
        <w:tc>
          <w:tcPr>
            <w:tcW w:w="5952" w:type="dxa"/>
            <w:shd w:val="clear" w:color="auto" w:fill="FFFFFF"/>
          </w:tcPr>
          <w:p>
            <w:pPr>
              <w:widowControl w:val="0"/>
              <w:shd w:val="clear" w:color="auto" w:fill="FFFFFF"/>
              <w:rPr>
                <w:szCs w:val="24"/>
              </w:rPr>
            </w:pPr>
            <w:r>
              <w:rPr>
                <w:szCs w:val="24"/>
              </w:rPr>
              <w:t>Tikrinti būklę, įtempimą ir eigos laisvumą</w:t>
            </w:r>
          </w:p>
          <w:p>
            <w:pPr>
              <w:widowControl w:val="0"/>
              <w:shd w:val="clear" w:color="auto" w:fill="FFFFFF"/>
              <w:rPr>
                <w:szCs w:val="24"/>
              </w:rPr>
            </w:pPr>
            <w:r>
              <w:rPr>
                <w:szCs w:val="24"/>
              </w:rPr>
              <w:t>Tikrinti pakopų/plokščių juostos ir turėklo sutaptinumą</w:t>
            </w:r>
          </w:p>
        </w:tc>
      </w:tr>
      <w:tr>
        <w:trPr>
          <w:cantSplit/>
          <w:trHeight w:val="23"/>
        </w:trPr>
        <w:tc>
          <w:tcPr>
            <w:tcW w:w="625" w:type="dxa"/>
            <w:shd w:val="clear" w:color="auto" w:fill="FFFFFF"/>
          </w:tcPr>
          <w:p>
            <w:pPr>
              <w:widowControl w:val="0"/>
              <w:shd w:val="clear" w:color="auto" w:fill="FFFFFF"/>
              <w:jc w:val="center"/>
              <w:rPr>
                <w:szCs w:val="24"/>
              </w:rPr>
            </w:pPr>
            <w:r>
              <w:rPr>
                <w:szCs w:val="24"/>
              </w:rPr>
              <w:t>16.</w:t>
            </w:r>
          </w:p>
        </w:tc>
        <w:tc>
          <w:tcPr>
            <w:tcW w:w="3060" w:type="dxa"/>
            <w:shd w:val="clear" w:color="auto" w:fill="FFFFFF"/>
          </w:tcPr>
          <w:p>
            <w:pPr>
              <w:widowControl w:val="0"/>
              <w:shd w:val="clear" w:color="auto" w:fill="FFFFFF"/>
              <w:rPr>
                <w:szCs w:val="24"/>
              </w:rPr>
            </w:pPr>
            <w:r>
              <w:rPr>
                <w:szCs w:val="24"/>
              </w:rPr>
              <w:t>Vikšrų sistema</w:t>
            </w:r>
          </w:p>
        </w:tc>
        <w:tc>
          <w:tcPr>
            <w:tcW w:w="5952" w:type="dxa"/>
            <w:shd w:val="clear" w:color="auto" w:fill="FFFFFF"/>
          </w:tcPr>
          <w:p>
            <w:pPr>
              <w:widowControl w:val="0"/>
              <w:shd w:val="clear" w:color="auto" w:fill="FFFFFF"/>
              <w:rPr>
                <w:szCs w:val="24"/>
              </w:rPr>
            </w:pPr>
            <w:r>
              <w:rPr>
                <w:szCs w:val="24"/>
              </w:rPr>
              <w:t>Tikrinti būklę ir nusidėvėjimą</w:t>
            </w:r>
          </w:p>
          <w:p>
            <w:pPr>
              <w:widowControl w:val="0"/>
              <w:shd w:val="clear" w:color="auto" w:fill="FFFFFF"/>
              <w:rPr>
                <w:szCs w:val="24"/>
              </w:rPr>
            </w:pPr>
            <w:r>
              <w:rPr>
                <w:szCs w:val="24"/>
              </w:rPr>
              <w:t>Tikrinti tvirtinimą</w:t>
            </w:r>
          </w:p>
        </w:tc>
      </w:tr>
      <w:tr>
        <w:trPr>
          <w:cantSplit/>
          <w:trHeight w:val="23"/>
        </w:trPr>
        <w:tc>
          <w:tcPr>
            <w:tcW w:w="625" w:type="dxa"/>
            <w:shd w:val="clear" w:color="auto" w:fill="FFFFFF"/>
          </w:tcPr>
          <w:p>
            <w:pPr>
              <w:widowControl w:val="0"/>
              <w:shd w:val="clear" w:color="auto" w:fill="FFFFFF"/>
              <w:jc w:val="center"/>
              <w:rPr>
                <w:szCs w:val="24"/>
              </w:rPr>
            </w:pPr>
            <w:r>
              <w:rPr>
                <w:szCs w:val="24"/>
              </w:rPr>
              <w:t>17.</w:t>
            </w:r>
          </w:p>
        </w:tc>
        <w:tc>
          <w:tcPr>
            <w:tcW w:w="3060" w:type="dxa"/>
            <w:shd w:val="clear" w:color="auto" w:fill="FFFFFF"/>
          </w:tcPr>
          <w:p>
            <w:pPr>
              <w:widowControl w:val="0"/>
              <w:shd w:val="clear" w:color="auto" w:fill="FFFFFF"/>
              <w:rPr>
                <w:szCs w:val="24"/>
              </w:rPr>
            </w:pPr>
            <w:r>
              <w:rPr>
                <w:szCs w:val="24"/>
              </w:rPr>
              <w:t>Saugos prietaisai</w:t>
            </w:r>
          </w:p>
        </w:tc>
        <w:tc>
          <w:tcPr>
            <w:tcW w:w="5952" w:type="dxa"/>
            <w:shd w:val="clear" w:color="auto" w:fill="FFFFFF"/>
          </w:tcPr>
          <w:p>
            <w:pPr>
              <w:widowControl w:val="0"/>
              <w:shd w:val="clear" w:color="auto" w:fill="FFFFFF"/>
              <w:rPr>
                <w:szCs w:val="24"/>
              </w:rPr>
            </w:pPr>
            <w:r>
              <w:rPr>
                <w:szCs w:val="24"/>
              </w:rPr>
              <w:t>Tikrinti veikimą</w:t>
            </w:r>
          </w:p>
        </w:tc>
      </w:tr>
      <w:tr>
        <w:trPr>
          <w:cantSplit/>
          <w:trHeight w:val="23"/>
        </w:trPr>
        <w:tc>
          <w:tcPr>
            <w:tcW w:w="625" w:type="dxa"/>
            <w:shd w:val="clear" w:color="auto" w:fill="FFFFFF"/>
          </w:tcPr>
          <w:p>
            <w:pPr>
              <w:widowControl w:val="0"/>
              <w:shd w:val="clear" w:color="auto" w:fill="FFFFFF"/>
              <w:jc w:val="center"/>
              <w:rPr>
                <w:szCs w:val="24"/>
              </w:rPr>
            </w:pPr>
            <w:r>
              <w:rPr>
                <w:szCs w:val="24"/>
              </w:rPr>
              <w:t>18.</w:t>
            </w:r>
          </w:p>
        </w:tc>
        <w:tc>
          <w:tcPr>
            <w:tcW w:w="3060" w:type="dxa"/>
            <w:shd w:val="clear" w:color="auto" w:fill="FFFFFF"/>
          </w:tcPr>
          <w:p>
            <w:pPr>
              <w:widowControl w:val="0"/>
              <w:shd w:val="clear" w:color="auto" w:fill="FFFFFF"/>
              <w:rPr>
                <w:szCs w:val="24"/>
              </w:rPr>
            </w:pPr>
            <w:r>
              <w:rPr>
                <w:szCs w:val="24"/>
              </w:rPr>
              <w:t>Kreipiantieji įtaisai</w:t>
            </w:r>
          </w:p>
        </w:tc>
        <w:tc>
          <w:tcPr>
            <w:tcW w:w="5952" w:type="dxa"/>
            <w:shd w:val="clear" w:color="auto" w:fill="FFFFFF"/>
          </w:tcPr>
          <w:p>
            <w:pPr>
              <w:widowControl w:val="0"/>
              <w:shd w:val="clear" w:color="auto" w:fill="FFFFFF"/>
              <w:rPr>
                <w:szCs w:val="24"/>
              </w:rPr>
            </w:pPr>
            <w:r>
              <w:rPr>
                <w:szCs w:val="24"/>
              </w:rPr>
              <w:t>Tikrinti būklę</w:t>
            </w:r>
          </w:p>
        </w:tc>
      </w:tr>
      <w:tr>
        <w:trPr>
          <w:cantSplit/>
          <w:trHeight w:val="23"/>
        </w:trPr>
        <w:tc>
          <w:tcPr>
            <w:tcW w:w="625" w:type="dxa"/>
            <w:shd w:val="clear" w:color="auto" w:fill="FFFFFF"/>
          </w:tcPr>
          <w:p>
            <w:pPr>
              <w:widowControl w:val="0"/>
              <w:shd w:val="clear" w:color="auto" w:fill="FFFFFF"/>
              <w:jc w:val="center"/>
              <w:rPr>
                <w:szCs w:val="24"/>
              </w:rPr>
            </w:pPr>
            <w:r>
              <w:rPr>
                <w:szCs w:val="24"/>
              </w:rPr>
              <w:t>19.</w:t>
            </w:r>
          </w:p>
        </w:tc>
        <w:tc>
          <w:tcPr>
            <w:tcW w:w="3060" w:type="dxa"/>
            <w:shd w:val="clear" w:color="auto" w:fill="FFFFFF"/>
          </w:tcPr>
          <w:p>
            <w:pPr>
              <w:widowControl w:val="0"/>
              <w:shd w:val="clear" w:color="auto" w:fill="FFFFFF"/>
              <w:rPr>
                <w:szCs w:val="24"/>
              </w:rPr>
            </w:pPr>
            <w:r>
              <w:rPr>
                <w:szCs w:val="24"/>
              </w:rPr>
              <w:t>Apšvietimas</w:t>
            </w:r>
          </w:p>
        </w:tc>
        <w:tc>
          <w:tcPr>
            <w:tcW w:w="5952" w:type="dxa"/>
            <w:shd w:val="clear" w:color="auto" w:fill="FFFFFF"/>
          </w:tcPr>
          <w:p>
            <w:pPr>
              <w:widowControl w:val="0"/>
              <w:shd w:val="clear" w:color="auto" w:fill="FFFFFF"/>
              <w:rPr>
                <w:szCs w:val="24"/>
              </w:rPr>
            </w:pPr>
            <w:r>
              <w:rPr>
                <w:szCs w:val="24"/>
              </w:rPr>
              <w:t>Tikrinti veikimą</w:t>
            </w:r>
          </w:p>
        </w:tc>
      </w:tr>
      <w:tr>
        <w:trPr>
          <w:cantSplit/>
          <w:trHeight w:val="23"/>
        </w:trPr>
        <w:tc>
          <w:tcPr>
            <w:tcW w:w="625" w:type="dxa"/>
            <w:shd w:val="clear" w:color="auto" w:fill="FFFFFF"/>
          </w:tcPr>
          <w:p>
            <w:pPr>
              <w:widowControl w:val="0"/>
              <w:shd w:val="clear" w:color="auto" w:fill="FFFFFF"/>
              <w:jc w:val="center"/>
              <w:rPr>
                <w:szCs w:val="24"/>
              </w:rPr>
            </w:pPr>
            <w:r>
              <w:rPr>
                <w:szCs w:val="24"/>
              </w:rPr>
              <w:t>20.</w:t>
            </w:r>
          </w:p>
        </w:tc>
        <w:tc>
          <w:tcPr>
            <w:tcW w:w="3060" w:type="dxa"/>
            <w:shd w:val="clear" w:color="auto" w:fill="FFFFFF"/>
          </w:tcPr>
          <w:p>
            <w:pPr>
              <w:widowControl w:val="0"/>
              <w:shd w:val="clear" w:color="auto" w:fill="FFFFFF"/>
              <w:rPr>
                <w:szCs w:val="24"/>
              </w:rPr>
            </w:pPr>
            <w:r>
              <w:rPr>
                <w:szCs w:val="24"/>
              </w:rPr>
              <w:t>Informaciniai ekranai</w:t>
            </w:r>
          </w:p>
        </w:tc>
        <w:tc>
          <w:tcPr>
            <w:tcW w:w="5952" w:type="dxa"/>
            <w:shd w:val="clear" w:color="auto" w:fill="FFFFFF"/>
          </w:tcPr>
          <w:p>
            <w:pPr>
              <w:widowControl w:val="0"/>
              <w:shd w:val="clear" w:color="auto" w:fill="FFFFFF"/>
              <w:rPr>
                <w:szCs w:val="24"/>
              </w:rPr>
            </w:pPr>
            <w:r>
              <w:rPr>
                <w:szCs w:val="24"/>
              </w:rPr>
              <w:t>Tikrinti veikimą</w:t>
            </w:r>
          </w:p>
        </w:tc>
      </w:tr>
      <w:tr>
        <w:trPr>
          <w:cantSplit/>
          <w:trHeight w:val="23"/>
        </w:trPr>
        <w:tc>
          <w:tcPr>
            <w:tcW w:w="625" w:type="dxa"/>
            <w:shd w:val="clear" w:color="auto" w:fill="FFFFFF"/>
          </w:tcPr>
          <w:p>
            <w:pPr>
              <w:widowControl w:val="0"/>
              <w:shd w:val="clear" w:color="auto" w:fill="FFFFFF"/>
              <w:jc w:val="center"/>
              <w:rPr>
                <w:szCs w:val="24"/>
              </w:rPr>
            </w:pPr>
            <w:r>
              <w:rPr>
                <w:szCs w:val="24"/>
              </w:rPr>
              <w:t>21.</w:t>
            </w:r>
          </w:p>
        </w:tc>
        <w:tc>
          <w:tcPr>
            <w:tcW w:w="3060" w:type="dxa"/>
            <w:shd w:val="clear" w:color="auto" w:fill="FFFFFF"/>
          </w:tcPr>
          <w:p>
            <w:pPr>
              <w:widowControl w:val="0"/>
              <w:shd w:val="clear" w:color="auto" w:fill="FFFFFF"/>
              <w:rPr>
                <w:szCs w:val="24"/>
              </w:rPr>
            </w:pPr>
            <w:r>
              <w:rPr>
                <w:szCs w:val="24"/>
              </w:rPr>
              <w:t>Ženklai ir piktogramos</w:t>
            </w:r>
          </w:p>
        </w:tc>
        <w:tc>
          <w:tcPr>
            <w:tcW w:w="5952" w:type="dxa"/>
            <w:shd w:val="clear" w:color="auto" w:fill="FFFFFF"/>
          </w:tcPr>
          <w:p>
            <w:pPr>
              <w:widowControl w:val="0"/>
              <w:shd w:val="clear" w:color="auto" w:fill="FFFFFF"/>
              <w:rPr>
                <w:szCs w:val="24"/>
              </w:rPr>
            </w:pPr>
            <w:r>
              <w:rPr>
                <w:szCs w:val="24"/>
              </w:rPr>
              <w:t>Tikrinti būklę</w:t>
            </w:r>
          </w:p>
        </w:tc>
      </w:tr>
      <w:tr>
        <w:trPr>
          <w:cantSplit/>
          <w:trHeight w:val="23"/>
        </w:trPr>
        <w:tc>
          <w:tcPr>
            <w:tcW w:w="625" w:type="dxa"/>
            <w:shd w:val="clear" w:color="auto" w:fill="FFFFFF"/>
          </w:tcPr>
          <w:p>
            <w:pPr>
              <w:widowControl w:val="0"/>
              <w:shd w:val="clear" w:color="auto" w:fill="FFFFFF"/>
              <w:jc w:val="center"/>
              <w:rPr>
                <w:szCs w:val="24"/>
              </w:rPr>
            </w:pPr>
            <w:r>
              <w:rPr>
                <w:szCs w:val="24"/>
              </w:rPr>
              <w:t>22.</w:t>
            </w:r>
          </w:p>
        </w:tc>
        <w:tc>
          <w:tcPr>
            <w:tcW w:w="3060" w:type="dxa"/>
            <w:shd w:val="clear" w:color="auto" w:fill="FFFFFF"/>
          </w:tcPr>
          <w:p>
            <w:pPr>
              <w:widowControl w:val="0"/>
              <w:shd w:val="clear" w:color="auto" w:fill="FFFFFF"/>
              <w:rPr>
                <w:szCs w:val="24"/>
              </w:rPr>
            </w:pPr>
            <w:r>
              <w:rPr>
                <w:szCs w:val="24"/>
              </w:rPr>
              <w:t>Baliustrada</w:t>
            </w:r>
          </w:p>
        </w:tc>
        <w:tc>
          <w:tcPr>
            <w:tcW w:w="5952" w:type="dxa"/>
            <w:shd w:val="clear" w:color="auto" w:fill="FFFFFF"/>
          </w:tcPr>
          <w:p>
            <w:pPr>
              <w:widowControl w:val="0"/>
              <w:shd w:val="clear" w:color="auto" w:fill="FFFFFF"/>
              <w:rPr>
                <w:szCs w:val="24"/>
              </w:rPr>
            </w:pPr>
            <w:r>
              <w:rPr>
                <w:szCs w:val="24"/>
              </w:rPr>
              <w:t>Tikrinti plokščių būklę</w:t>
            </w:r>
          </w:p>
          <w:p>
            <w:pPr>
              <w:widowControl w:val="0"/>
              <w:shd w:val="clear" w:color="auto" w:fill="FFFFFF"/>
              <w:rPr>
                <w:szCs w:val="24"/>
              </w:rPr>
            </w:pPr>
            <w:r>
              <w:rPr>
                <w:szCs w:val="24"/>
              </w:rPr>
              <w:t>Tikrinti vidinio apdaro tvirtinimą</w:t>
            </w:r>
          </w:p>
        </w:tc>
      </w:tr>
    </w:tbl>
    <w:p>
      <w:pPr>
        <w:jc w:val="center"/>
      </w:pPr>
    </w:p>
    <w:p>
      <w:pPr>
        <w:jc w:val="both"/>
        <w:rPr>
          <w:b/>
          <w:sz w:val="20"/>
        </w:rPr>
      </w:pPr>
    </w:p>
    <w:p>
      <w:pPr>
        <w:jc w:val="center"/>
      </w:pPr>
      <w:r>
        <w:t>______________</w:t>
      </w:r>
    </w:p>
    <w:p>
      <w:pPr>
        <w:jc w:val="both"/>
        <w:rPr>
          <w:b/>
          <w:sz w:val="20"/>
        </w:rPr>
      </w:pPr>
    </w:p>
    <w:sectPr>
      <w:pgSz w:w="11907" w:h="16839" w:code="9"/>
      <w:pgMar w:top="1699" w:right="562" w:bottom="1138" w:left="1699" w:header="706" w:footer="706" w:gutter="0"/>
      <w:cols w:space="708"/>
      <w:titlePg/>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jc w:val="center"/>
    </w:pPr>
    <w:r>
      <w:fldChar w:fldCharType="begin"/>
    </w:r>
    <w:r>
      <w:instrText xml:space="preserve"> PAGE   \* MERGEFORMAT </w:instrText>
    </w:r>
    <w:r>
      <w:fldChar w:fldCharType="separate"/>
    </w:r>
    <w:r>
      <w:t>6</w:t>
    </w:r>
    <w:r>
      <w:fldChar w:fldCharType="end"/>
    </w:r>
  </w:p>
  <w:p>
    <w:pPr>
      <w:tabs>
        <w:tab w:val="center" w:pos="4819"/>
        <w:tab w:val="right" w:pos="9638"/>
      </w:tabs>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val="bestFit" w:percent="149"/>
  <w:defaultTabStop w:val="720"/>
  <w:hyphenationZone w:val="396"/>
  <w:doNotHyphenateCaps/>
  <w:drawingGridHorizontalSpacing w:val="18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E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divs>
    <w:div w:id="15066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15162</Characters>
  <Application>Microsoft Office Word</Application>
  <DocSecurity>4</DocSecurity>
  <Lines>329</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vt:lpstr>
      <vt:lpstr>LIETUVOS RESPUBLIKOS</vt:lpstr>
    </vt:vector>
  </TitlesOfParts>
  <Company>Teisines informacijos centras</Company>
  <LinksUpToDate>false</LinksUpToDate>
  <CharactersWithSpaces>17080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2020-04-08T08:53:00Z</dcterms:created>
  <dc:creator>Sandra</dc:creator>
  <lastModifiedBy>adlibuser</lastModifiedBy>
  <dcterms:modified xsi:type="dcterms:W3CDTF">2020-04-08T08:53:00Z</dcterms:modified>
  <revision>2</revision>
  <dc:title>LIETUVOS RESPUBLIKOS</dc:title>
</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